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57E6A5">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3665" distR="113665" simplePos="0" relativeHeight="251659264" behindDoc="0" locked="0" layoutInCell="1" allowOverlap="1">
                <wp:simplePos x="0" y="0"/>
                <wp:positionH relativeFrom="column">
                  <wp:posOffset>580390</wp:posOffset>
                </wp:positionH>
                <wp:positionV relativeFrom="paragraph">
                  <wp:posOffset>-41275</wp:posOffset>
                </wp:positionV>
                <wp:extent cx="3743960" cy="594360"/>
                <wp:effectExtent l="0" t="0" r="0" b="0"/>
                <wp:wrapNone/>
                <wp:docPr id="1" name="矩形 1"/>
                <wp:cNvGraphicFramePr/>
                <a:graphic xmlns:a="http://schemas.openxmlformats.org/drawingml/2006/main">
                  <a:graphicData uri="http://schemas.microsoft.com/office/word/2010/wordprocessingShape">
                    <wps:wsp>
                      <wps:cNvSpPr/>
                      <wps:spPr>
                        <a:xfrm>
                          <a:off x="0" y="0"/>
                          <a:ext cx="3743959" cy="594360"/>
                        </a:xfrm>
                        <a:prstGeom prst="rect">
                          <a:avLst/>
                        </a:prstGeom>
                        <a:solidFill>
                          <a:srgbClr val="FFFFFF"/>
                        </a:solidFill>
                        <a:ln w="12700" cap="flat" cmpd="sng">
                          <a:solidFill>
                            <a:srgbClr val="FFFFFF"/>
                          </a:solidFill>
                          <a:prstDash val="solid"/>
                          <a:miter/>
                        </a:ln>
                      </wps:spPr>
                      <wps:txbx>
                        <w:txbxContent>
                          <w:p w14:paraId="27354158">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46E66401">
                            <w:pPr>
                              <w:spacing w:line="400" w:lineRule="exact"/>
                              <w:rPr>
                                <w:rFonts w:ascii="仿宋_GB2312" w:eastAsia="仿宋_GB2312"/>
                                <w:sz w:val="22"/>
                              </w:rPr>
                            </w:pPr>
                            <w:r>
                              <w:rPr>
                                <w:rFonts w:hint="eastAsia" w:ascii="仿宋_GB2312" w:eastAsia="仿宋_GB2312"/>
                                <w:sz w:val="22"/>
                              </w:rPr>
                              <w:t>SHENZHEN ZHONGZHENG TENDERING CO.,LTD.</w:t>
                            </w:r>
                          </w:p>
                        </w:txbxContent>
                      </wps:txbx>
                      <wps:bodyPr vert="horz" wrap="square" lIns="91440" tIns="45720" rIns="91440" bIns="45720" anchor="t" anchorCtr="0" upright="1">
                        <a:noAutofit/>
                      </wps:bodyPr>
                    </wps:wsp>
                  </a:graphicData>
                </a:graphic>
              </wp:anchor>
            </w:drawing>
          </mc:Choice>
          <mc:Fallback>
            <w:pict>
              <v:rect id="_x0000_s1026" o:spid="_x0000_s1026" o:spt="1" style="position:absolute;left:0pt;margin-left:45.7pt;margin-top:-3.25pt;height:46.8pt;width:294.8pt;z-index:251659264;mso-width-relative:page;mso-height-relative:page;" fillcolor="#FFFFFF" filled="t" stroked="t" coordsize="21600,21600" o:gfxdata="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VDa3u1gAA&#10;AAgBAAAPAAAAAAAAAAEAIAAAACIAAABkcnMvZG93bnJldi54bWxQSwECFAAUAAAACACHTuJA0UL7&#10;lCACAABXBAAADgAAAAAAAAABACAAAAAlAQAAZHJzL2Uyb0RvYy54bWxQSwUGAAAAAAYABgBZAQAA&#10;twUAAAAA&#10;">
                <v:fill on="t" focussize="0,0"/>
                <v:stroke weight="1pt" color="#FFFFFF" joinstyle="miter"/>
                <v:imagedata o:title=""/>
                <o:lock v:ext="edit" aspectratio="f"/>
                <v:textbox>
                  <w:txbxContent>
                    <w:p w14:paraId="27354158">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46E66401">
                      <w:pPr>
                        <w:spacing w:line="400" w:lineRule="exact"/>
                        <w:rPr>
                          <w:rFonts w:ascii="仿宋_GB2312" w:eastAsia="仿宋_GB2312"/>
                          <w:sz w:val="22"/>
                        </w:rPr>
                      </w:pPr>
                      <w:r>
                        <w:rPr>
                          <w:rFonts w:hint="eastAsia" w:ascii="仿宋_GB2312" w:eastAsia="仿宋_GB2312"/>
                          <w:sz w:val="22"/>
                        </w:rPr>
                        <w:t>SHENZHEN ZHONGZHENG TENDERING CO.,LTD.</w:t>
                      </w:r>
                    </w:p>
                  </w:txbxContent>
                </v:textbox>
              </v:rect>
            </w:pict>
          </mc:Fallback>
        </mc:AlternateContent>
      </w:r>
      <w:r>
        <w:rPr>
          <w:b/>
          <w:kern w:val="0"/>
          <w:sz w:val="28"/>
          <w:szCs w:val="28"/>
        </w:rPr>
        <w:drawing>
          <wp:inline distT="0" distB="0" distL="0" distR="0">
            <wp:extent cx="552450" cy="476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552450" cy="476250"/>
                    </a:xfrm>
                    <a:prstGeom prst="rect">
                      <a:avLst/>
                    </a:prstGeom>
                    <a:solidFill>
                      <a:srgbClr val="FFFFFF"/>
                    </a:solidFill>
                    <a:ln w="9525" cap="flat" cmpd="sng">
                      <a:noFill/>
                      <a:prstDash val="solid"/>
                      <a:miter/>
                    </a:ln>
                  </pic:spPr>
                </pic:pic>
              </a:graphicData>
            </a:graphic>
          </wp:inline>
        </w:drawing>
      </w:r>
    </w:p>
    <w:p w14:paraId="090A1586">
      <w:pPr>
        <w:ind w:left="682" w:leftChars="-203" w:hanging="1108" w:hangingChars="154"/>
        <w:rPr>
          <w:sz w:val="72"/>
          <w:szCs w:val="72"/>
        </w:rPr>
      </w:pPr>
    </w:p>
    <w:p w14:paraId="650D239A">
      <w:pPr>
        <w:adjustRightInd w:val="0"/>
        <w:snapToGrid w:val="0"/>
        <w:spacing w:line="300" w:lineRule="auto"/>
        <w:jc w:val="left"/>
        <w:rPr>
          <w:b/>
          <w:bCs/>
          <w:snapToGrid w:val="0"/>
          <w:kern w:val="0"/>
          <w:sz w:val="28"/>
          <w:szCs w:val="28"/>
        </w:rPr>
      </w:pPr>
    </w:p>
    <w:p w14:paraId="1ADF61E6">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14:paraId="3DE1CCFA">
      <w:pPr>
        <w:adjustRightInd w:val="0"/>
        <w:snapToGrid w:val="0"/>
        <w:spacing w:line="300" w:lineRule="auto"/>
        <w:jc w:val="left"/>
        <w:rPr>
          <w:b/>
          <w:bCs/>
          <w:snapToGrid w:val="0"/>
          <w:kern w:val="0"/>
          <w:sz w:val="28"/>
          <w:szCs w:val="28"/>
        </w:rPr>
      </w:pPr>
    </w:p>
    <w:p w14:paraId="34B95D00">
      <w:pPr>
        <w:adjustRightInd w:val="0"/>
        <w:snapToGrid w:val="0"/>
        <w:spacing w:line="300" w:lineRule="auto"/>
        <w:jc w:val="center"/>
        <w:rPr>
          <w:rFonts w:hint="eastAsia" w:ascii="宋体" w:eastAsia="宋体"/>
          <w:b/>
          <w:snapToGrid w:val="0"/>
          <w:kern w:val="0"/>
          <w:sz w:val="64"/>
          <w:szCs w:val="70"/>
          <w:lang w:eastAsia="zh-CN"/>
        </w:rPr>
      </w:pPr>
      <w:r>
        <w:rPr>
          <w:rFonts w:hint="eastAsia" w:ascii="宋体"/>
          <w:b/>
          <w:bCs/>
          <w:snapToGrid w:val="0"/>
          <w:kern w:val="0"/>
          <w:sz w:val="64"/>
          <w:szCs w:val="70"/>
          <w:lang w:val="en-US" w:eastAsia="zh-CN"/>
        </w:rPr>
        <w:t>深圳市公安局宝安分局</w:t>
      </w:r>
      <w:r>
        <w:rPr>
          <w:rFonts w:hint="eastAsia" w:ascii="宋体" w:eastAsia="宋体"/>
          <w:b/>
          <w:bCs/>
          <w:snapToGrid w:val="0"/>
          <w:kern w:val="0"/>
          <w:sz w:val="64"/>
          <w:szCs w:val="70"/>
          <w:lang w:eastAsia="zh-CN"/>
        </w:rPr>
        <w:t>海防查缉防控高速摩托艇</w:t>
      </w:r>
      <w:r>
        <w:rPr>
          <w:rFonts w:hint="eastAsia" w:ascii="宋体"/>
          <w:b/>
          <w:snapToGrid w:val="0"/>
          <w:kern w:val="0"/>
          <w:sz w:val="64"/>
          <w:szCs w:val="70"/>
          <w:lang w:val="en-US" w:eastAsia="zh-CN"/>
        </w:rPr>
        <w:t>采购</w:t>
      </w:r>
      <w:r>
        <w:rPr>
          <w:rFonts w:hint="eastAsia" w:ascii="宋体"/>
          <w:b/>
          <w:bCs/>
          <w:snapToGrid w:val="0"/>
          <w:kern w:val="0"/>
          <w:sz w:val="64"/>
          <w:szCs w:val="70"/>
          <w:lang w:val="en-US" w:eastAsia="zh-CN"/>
        </w:rPr>
        <w:t>项目</w:t>
      </w:r>
    </w:p>
    <w:p w14:paraId="5CBB6D97">
      <w:pPr>
        <w:adjustRightInd w:val="0"/>
        <w:snapToGrid w:val="0"/>
        <w:spacing w:line="300" w:lineRule="auto"/>
        <w:jc w:val="center"/>
        <w:rPr>
          <w:rFonts w:ascii="宋体" w:eastAsia="宋体"/>
          <w:b/>
          <w:snapToGrid w:val="0"/>
          <w:kern w:val="0"/>
          <w:sz w:val="44"/>
          <w:szCs w:val="44"/>
        </w:rPr>
      </w:pPr>
    </w:p>
    <w:p w14:paraId="767DFB99">
      <w:pPr>
        <w:adjustRightInd w:val="0"/>
        <w:snapToGrid w:val="0"/>
        <w:spacing w:line="300" w:lineRule="auto"/>
        <w:jc w:val="center"/>
        <w:rPr>
          <w:rFonts w:ascii="宋体" w:eastAsia="宋体"/>
          <w:b/>
          <w:snapToGrid w:val="0"/>
          <w:kern w:val="0"/>
          <w:sz w:val="44"/>
          <w:szCs w:val="44"/>
        </w:rPr>
      </w:pPr>
    </w:p>
    <w:p w14:paraId="05B8BCCC">
      <w:pPr>
        <w:adjustRightInd w:val="0"/>
        <w:snapToGrid w:val="0"/>
        <w:spacing w:line="300" w:lineRule="auto"/>
        <w:jc w:val="center"/>
        <w:rPr>
          <w:rFonts w:ascii="宋体" w:eastAsia="宋体"/>
          <w:b/>
          <w:snapToGrid w:val="0"/>
          <w:kern w:val="0"/>
          <w:sz w:val="44"/>
          <w:szCs w:val="44"/>
        </w:rPr>
      </w:pPr>
    </w:p>
    <w:p w14:paraId="0099C60D">
      <w:pPr>
        <w:adjustRightInd w:val="0"/>
        <w:snapToGrid w:val="0"/>
        <w:spacing w:line="300" w:lineRule="auto"/>
        <w:jc w:val="center"/>
        <w:rPr>
          <w:rFonts w:ascii="宋体" w:eastAsia="宋体"/>
          <w:b/>
          <w:snapToGrid w:val="0"/>
          <w:kern w:val="0"/>
          <w:sz w:val="90"/>
        </w:rPr>
      </w:pPr>
      <w:r>
        <w:rPr>
          <w:rFonts w:hint="eastAsia" w:ascii="宋体" w:eastAsia="宋体"/>
          <w:b/>
          <w:snapToGrid w:val="0"/>
          <w:kern w:val="0"/>
          <w:sz w:val="90"/>
        </w:rPr>
        <w:t>货物类招标文件</w:t>
      </w:r>
    </w:p>
    <w:p w14:paraId="0FEBF799">
      <w:pPr>
        <w:adjustRightInd w:val="0"/>
        <w:snapToGrid w:val="0"/>
        <w:spacing w:line="300" w:lineRule="auto"/>
        <w:jc w:val="center"/>
        <w:rPr>
          <w:rFonts w:ascii="宋体" w:eastAsia="宋体"/>
          <w:b/>
          <w:snapToGrid w:val="0"/>
          <w:kern w:val="0"/>
          <w:sz w:val="32"/>
        </w:rPr>
      </w:pPr>
    </w:p>
    <w:p w14:paraId="6346AA16">
      <w:pPr>
        <w:adjustRightInd w:val="0"/>
        <w:snapToGrid w:val="0"/>
        <w:spacing w:line="300" w:lineRule="auto"/>
        <w:jc w:val="center"/>
        <w:rPr>
          <w:rFonts w:hint="eastAsia" w:ascii="宋体" w:eastAsia="宋体"/>
          <w:b/>
          <w:snapToGrid w:val="0"/>
          <w:kern w:val="0"/>
          <w:sz w:val="32"/>
          <w:lang w:eastAsia="zh-CN"/>
        </w:rPr>
      </w:pPr>
      <w:r>
        <w:rPr>
          <w:rFonts w:hint="eastAsia" w:ascii="宋体" w:eastAsia="宋体"/>
          <w:b/>
          <w:snapToGrid w:val="0"/>
          <w:kern w:val="0"/>
          <w:sz w:val="32"/>
        </w:rPr>
        <w:t>项目编号：</w:t>
      </w:r>
      <w:bookmarkStart w:id="101" w:name="_GoBack"/>
      <w:r>
        <w:rPr>
          <w:rFonts w:hint="eastAsia" w:ascii="宋体"/>
          <w:b/>
          <w:snapToGrid w:val="0"/>
          <w:kern w:val="0"/>
          <w:sz w:val="32"/>
          <w:lang w:eastAsia="zh-CN"/>
        </w:rPr>
        <w:t>BADL2026000103</w:t>
      </w:r>
      <w:bookmarkEnd w:id="101"/>
    </w:p>
    <w:p w14:paraId="21365FDE">
      <w:pPr>
        <w:adjustRightInd w:val="0"/>
        <w:snapToGrid w:val="0"/>
        <w:spacing w:line="300" w:lineRule="auto"/>
        <w:jc w:val="center"/>
        <w:rPr>
          <w:rFonts w:ascii="宋体" w:eastAsia="宋体"/>
          <w:b/>
          <w:snapToGrid w:val="0"/>
          <w:kern w:val="0"/>
          <w:sz w:val="18"/>
          <w:szCs w:val="18"/>
        </w:rPr>
      </w:pPr>
    </w:p>
    <w:p w14:paraId="337BAFB0">
      <w:pPr>
        <w:adjustRightInd w:val="0"/>
        <w:snapToGrid w:val="0"/>
        <w:spacing w:line="300" w:lineRule="auto"/>
        <w:jc w:val="center"/>
        <w:rPr>
          <w:rFonts w:ascii="宋体" w:eastAsia="宋体"/>
          <w:b/>
          <w:snapToGrid w:val="0"/>
          <w:kern w:val="0"/>
          <w:sz w:val="44"/>
        </w:rPr>
      </w:pPr>
    </w:p>
    <w:p w14:paraId="40F0C404">
      <w:pPr>
        <w:adjustRightInd w:val="0"/>
        <w:snapToGrid w:val="0"/>
        <w:spacing w:line="300" w:lineRule="auto"/>
        <w:jc w:val="center"/>
        <w:rPr>
          <w:rFonts w:ascii="宋体" w:eastAsia="宋体"/>
          <w:b/>
          <w:snapToGrid w:val="0"/>
          <w:kern w:val="0"/>
          <w:sz w:val="44"/>
        </w:rPr>
      </w:pPr>
      <w:r>
        <w:rPr>
          <w:rFonts w:ascii="宋体" w:eastAsia="宋体"/>
          <w:b/>
          <w:snapToGrid w:val="0"/>
          <w:kern w:val="0"/>
          <w:sz w:val="44"/>
        </w:rPr>
        <w:t xml:space="preserve"> </w:t>
      </w:r>
    </w:p>
    <w:p w14:paraId="7FF163AA">
      <w:pPr>
        <w:pStyle w:val="24"/>
        <w:adjustRightInd w:val="0"/>
        <w:snapToGrid w:val="0"/>
        <w:spacing w:line="300" w:lineRule="auto"/>
        <w:jc w:val="center"/>
        <w:rPr>
          <w:rFonts w:ascii="宋体" w:eastAsia="宋体"/>
          <w:b/>
          <w:snapToGrid w:val="0"/>
          <w:sz w:val="30"/>
        </w:rPr>
      </w:pPr>
    </w:p>
    <w:p w14:paraId="68D82D98">
      <w:pPr>
        <w:rPr>
          <w:rFonts w:ascii="宋体" w:eastAsia="宋体"/>
        </w:rPr>
      </w:pPr>
    </w:p>
    <w:p w14:paraId="1594D096">
      <w:pPr>
        <w:rPr>
          <w:rFonts w:ascii="宋体" w:eastAsia="宋体"/>
        </w:rPr>
      </w:pPr>
    </w:p>
    <w:p w14:paraId="3C557AEB">
      <w:pPr>
        <w:rPr>
          <w:rFonts w:ascii="宋体" w:eastAsia="宋体"/>
        </w:rPr>
      </w:pPr>
    </w:p>
    <w:p w14:paraId="5F40899A">
      <w:pPr>
        <w:pStyle w:val="24"/>
        <w:adjustRightInd w:val="0"/>
        <w:snapToGrid w:val="0"/>
        <w:spacing w:line="300" w:lineRule="auto"/>
        <w:jc w:val="center"/>
        <w:rPr>
          <w:sz w:val="40"/>
          <w:szCs w:val="40"/>
        </w:rPr>
      </w:pPr>
      <w:r>
        <w:rPr>
          <w:rFonts w:hint="eastAsia" w:ascii="宋体" w:eastAsia="宋体"/>
          <w:b/>
          <w:snapToGrid w:val="0"/>
          <w:sz w:val="30"/>
        </w:rPr>
        <w:t>二〇二</w:t>
      </w:r>
      <w:r>
        <w:rPr>
          <w:rFonts w:hint="eastAsia" w:ascii="宋体" w:eastAsia="宋体"/>
          <w:b/>
          <w:snapToGrid w:val="0"/>
          <w:sz w:val="30"/>
          <w:lang w:eastAsia="zh-CN"/>
        </w:rPr>
        <w:t>六</w:t>
      </w:r>
      <w:r>
        <w:rPr>
          <w:rFonts w:hint="eastAsia" w:ascii="宋体" w:eastAsia="宋体"/>
          <w:b/>
          <w:snapToGrid w:val="0"/>
          <w:sz w:val="30"/>
        </w:rPr>
        <w:t>年**月</w:t>
      </w:r>
      <w:r>
        <w:rPr>
          <w:sz w:val="40"/>
          <w:szCs w:val="40"/>
        </w:rPr>
        <w:br w:type="page"/>
      </w:r>
    </w:p>
    <w:p w14:paraId="74ED1CB6">
      <w:pPr>
        <w:jc w:val="center"/>
        <w:rPr>
          <w:rFonts w:ascii="宋体" w:eastAsia="宋体"/>
          <w:b/>
          <w:bCs/>
          <w:sz w:val="44"/>
          <w:szCs w:val="44"/>
        </w:rPr>
      </w:pPr>
      <w:r>
        <w:rPr>
          <w:rFonts w:hint="eastAsia" w:ascii="宋体" w:eastAsia="宋体"/>
          <w:b/>
          <w:bCs/>
          <w:sz w:val="44"/>
          <w:szCs w:val="44"/>
        </w:rPr>
        <w:t>特别警示条款</w:t>
      </w:r>
    </w:p>
    <w:p w14:paraId="26CE53F6">
      <w:pPr>
        <w:spacing w:line="360" w:lineRule="auto"/>
        <w:ind w:firstLine="480" w:firstLineChars="200"/>
        <w:rPr>
          <w:rFonts w:ascii="仿宋" w:eastAsia="仿宋"/>
          <w:sz w:val="24"/>
        </w:rPr>
      </w:pPr>
    </w:p>
    <w:p w14:paraId="63D0A03D">
      <w:pPr>
        <w:spacing w:line="440" w:lineRule="exact"/>
        <w:ind w:firstLine="420" w:firstLineChars="200"/>
        <w:rPr>
          <w:rFonts w:ascii="宋体" w:eastAsia="宋体"/>
          <w:szCs w:val="21"/>
        </w:rPr>
      </w:pPr>
      <w:r>
        <w:rPr>
          <w:rFonts w:hint="eastAsia" w:ascii="宋体" w:eastAsia="宋体"/>
          <w:szCs w:val="21"/>
        </w:rPr>
        <w:t>一、《深圳经济特区政府采购条例》</w:t>
      </w:r>
    </w:p>
    <w:p w14:paraId="6719D377">
      <w:pPr>
        <w:spacing w:line="440" w:lineRule="exact"/>
        <w:ind w:firstLine="420" w:firstLineChars="200"/>
        <w:rPr>
          <w:rFonts w:ascii="宋体" w:eastAsia="宋体"/>
          <w:szCs w:val="21"/>
        </w:rPr>
      </w:pPr>
      <w:r>
        <w:rPr>
          <w:rFonts w:hint="eastAsia" w:ascii="宋体" w:eastAsia="宋体"/>
          <w:szCs w:val="21"/>
        </w:rPr>
        <w:t>第五十七条</w:t>
      </w:r>
      <w:r>
        <w:rPr>
          <w:rFonts w:ascii="宋体" w:eastAsia="宋体"/>
          <w:szCs w:val="21"/>
        </w:rPr>
        <w:t xml:space="preserve"> </w:t>
      </w:r>
      <w:r>
        <w:rPr>
          <w:rFonts w:hint="eastAsia" w:ascii="宋体" w:eastAsia="宋体"/>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6ED11305">
      <w:pPr>
        <w:spacing w:line="440" w:lineRule="exact"/>
        <w:ind w:firstLine="420" w:firstLineChars="200"/>
        <w:rPr>
          <w:rFonts w:ascii="宋体" w:eastAsia="宋体"/>
          <w:szCs w:val="21"/>
        </w:rPr>
      </w:pPr>
      <w:r>
        <w:rPr>
          <w:rFonts w:hint="eastAsia" w:ascii="宋体" w:eastAsia="宋体"/>
          <w:szCs w:val="21"/>
        </w:rPr>
        <w:t>（一）在采购活动中应当回避而未回避的；</w:t>
      </w:r>
    </w:p>
    <w:p w14:paraId="3CDB75B9">
      <w:pPr>
        <w:spacing w:line="440" w:lineRule="exact"/>
        <w:ind w:firstLine="420" w:firstLineChars="200"/>
        <w:rPr>
          <w:rFonts w:ascii="宋体" w:eastAsia="宋体"/>
          <w:szCs w:val="21"/>
        </w:rPr>
      </w:pPr>
      <w:r>
        <w:rPr>
          <w:rFonts w:hint="eastAsia" w:ascii="宋体" w:eastAsia="宋体"/>
          <w:szCs w:val="21"/>
        </w:rPr>
        <w:t>（二）未按本条例规定签订、履行采购合同，造成严重后果的；</w:t>
      </w:r>
    </w:p>
    <w:p w14:paraId="5A61E0BF">
      <w:pPr>
        <w:spacing w:line="440" w:lineRule="exact"/>
        <w:ind w:firstLine="420" w:firstLineChars="200"/>
        <w:rPr>
          <w:rFonts w:ascii="宋体" w:eastAsia="宋体"/>
          <w:szCs w:val="21"/>
        </w:rPr>
      </w:pPr>
      <w:r>
        <w:rPr>
          <w:rFonts w:hint="eastAsia" w:ascii="宋体" w:eastAsia="宋体"/>
          <w:szCs w:val="21"/>
        </w:rPr>
        <w:t>（三）隐瞒真实情况，提供虚假资料的；</w:t>
      </w:r>
    </w:p>
    <w:p w14:paraId="67CBDD5A">
      <w:pPr>
        <w:spacing w:line="440" w:lineRule="exact"/>
        <w:ind w:firstLine="420" w:firstLineChars="200"/>
        <w:rPr>
          <w:rFonts w:ascii="宋体" w:eastAsia="宋体"/>
          <w:szCs w:val="21"/>
        </w:rPr>
      </w:pPr>
      <w:r>
        <w:rPr>
          <w:rFonts w:hint="eastAsia" w:ascii="宋体" w:eastAsia="宋体"/>
          <w:szCs w:val="21"/>
        </w:rPr>
        <w:t>（四）以非法手段排斥其他供应商参与竞争的；</w:t>
      </w:r>
    </w:p>
    <w:p w14:paraId="07722546">
      <w:pPr>
        <w:spacing w:line="440" w:lineRule="exact"/>
        <w:ind w:firstLine="420" w:firstLineChars="200"/>
        <w:rPr>
          <w:rFonts w:ascii="宋体" w:eastAsia="宋体"/>
          <w:szCs w:val="21"/>
        </w:rPr>
      </w:pPr>
      <w:r>
        <w:rPr>
          <w:rFonts w:hint="eastAsia" w:ascii="宋体" w:eastAsia="宋体"/>
          <w:szCs w:val="21"/>
        </w:rPr>
        <w:t>（五）与其他采购参加人串通投标的；</w:t>
      </w:r>
    </w:p>
    <w:p w14:paraId="2C8B4E72">
      <w:pPr>
        <w:spacing w:line="440" w:lineRule="exact"/>
        <w:ind w:firstLine="420" w:firstLineChars="200"/>
        <w:rPr>
          <w:rFonts w:ascii="宋体" w:eastAsia="宋体"/>
          <w:szCs w:val="21"/>
        </w:rPr>
      </w:pPr>
      <w:r>
        <w:rPr>
          <w:rFonts w:hint="eastAsia" w:ascii="宋体" w:eastAsia="宋体"/>
          <w:szCs w:val="21"/>
        </w:rPr>
        <w:t>（六）恶意投诉的；</w:t>
      </w:r>
    </w:p>
    <w:p w14:paraId="5213D1DB">
      <w:pPr>
        <w:spacing w:line="440" w:lineRule="exact"/>
        <w:ind w:firstLine="420" w:firstLineChars="200"/>
        <w:rPr>
          <w:rFonts w:ascii="宋体" w:eastAsia="宋体"/>
          <w:szCs w:val="21"/>
        </w:rPr>
      </w:pPr>
      <w:r>
        <w:rPr>
          <w:rFonts w:hint="eastAsia" w:ascii="宋体" w:eastAsia="宋体"/>
          <w:szCs w:val="21"/>
        </w:rPr>
        <w:t>（七）向采购项目相关人行贿或者提供其他不当利益的；</w:t>
      </w:r>
    </w:p>
    <w:p w14:paraId="3B5B3D71">
      <w:pPr>
        <w:spacing w:line="440" w:lineRule="exact"/>
        <w:ind w:firstLine="420" w:firstLineChars="200"/>
        <w:rPr>
          <w:rFonts w:ascii="宋体" w:eastAsia="宋体"/>
          <w:szCs w:val="21"/>
        </w:rPr>
      </w:pPr>
      <w:r>
        <w:rPr>
          <w:rFonts w:hint="eastAsia" w:ascii="宋体" w:eastAsia="宋体"/>
          <w:szCs w:val="21"/>
        </w:rPr>
        <w:t>（八）阻碍、抗拒主管部门监督检查的；</w:t>
      </w:r>
    </w:p>
    <w:p w14:paraId="0F0A0080">
      <w:pPr>
        <w:spacing w:line="440" w:lineRule="exact"/>
        <w:ind w:firstLine="420" w:firstLineChars="200"/>
        <w:rPr>
          <w:rFonts w:ascii="宋体" w:eastAsia="宋体"/>
          <w:szCs w:val="21"/>
        </w:rPr>
      </w:pPr>
      <w:r>
        <w:rPr>
          <w:rFonts w:hint="eastAsia" w:ascii="宋体" w:eastAsia="宋体"/>
          <w:szCs w:val="21"/>
        </w:rPr>
        <w:t>（九）其他违反本条例规定的行为。</w:t>
      </w:r>
    </w:p>
    <w:p w14:paraId="2D532188">
      <w:pPr>
        <w:widowControl/>
        <w:spacing w:after="120"/>
        <w:jc w:val="left"/>
        <w:rPr>
          <w:rFonts w:eastAsia="宋体"/>
          <w:kern w:val="0"/>
          <w:sz w:val="24"/>
        </w:rPr>
      </w:pPr>
    </w:p>
    <w:p w14:paraId="4D296AB6">
      <w:pPr>
        <w:spacing w:line="440" w:lineRule="exact"/>
        <w:ind w:firstLine="420" w:firstLineChars="200"/>
        <w:rPr>
          <w:rFonts w:ascii="宋体" w:eastAsia="宋体"/>
          <w:szCs w:val="21"/>
        </w:rPr>
      </w:pPr>
      <w:r>
        <w:rPr>
          <w:rFonts w:hint="eastAsia" w:ascii="宋体" w:eastAsia="宋体"/>
          <w:szCs w:val="21"/>
        </w:rPr>
        <w:t>二、《深圳经济特区政府采购条例实施细则》</w:t>
      </w:r>
    </w:p>
    <w:p w14:paraId="7B11D74D">
      <w:pPr>
        <w:spacing w:line="440" w:lineRule="exact"/>
        <w:ind w:firstLine="422" w:firstLineChars="200"/>
        <w:rPr>
          <w:rFonts w:ascii="宋体" w:eastAsia="宋体"/>
          <w:b/>
          <w:color w:val="FF0000"/>
          <w:szCs w:val="21"/>
        </w:rPr>
      </w:pPr>
      <w:r>
        <w:rPr>
          <w:rFonts w:hint="eastAsia" w:ascii="宋体" w:eastAsia="宋体"/>
          <w:b/>
          <w:color w:val="FF0000"/>
          <w:szCs w:val="21"/>
        </w:rPr>
        <w:t>第七十五条 供应商有下列情形的，属于采购条例所称的串通投标行为，按照采购条例第五十七条有关规定处理：</w:t>
      </w:r>
    </w:p>
    <w:p w14:paraId="4050F1EC">
      <w:pPr>
        <w:spacing w:line="440" w:lineRule="exact"/>
        <w:ind w:firstLine="422" w:firstLineChars="200"/>
        <w:rPr>
          <w:rFonts w:ascii="宋体" w:eastAsia="宋体"/>
          <w:b/>
          <w:color w:val="FF0000"/>
          <w:szCs w:val="21"/>
        </w:rPr>
      </w:pPr>
      <w:r>
        <w:rPr>
          <w:rFonts w:hint="eastAsia" w:ascii="宋体" w:eastAsia="宋体"/>
          <w:b/>
          <w:color w:val="FF0000"/>
          <w:szCs w:val="21"/>
        </w:rPr>
        <w:t>（一）投标供应商之间相互约定给予未中标的供应商利益补偿；</w:t>
      </w:r>
    </w:p>
    <w:p w14:paraId="42FAB913">
      <w:pPr>
        <w:spacing w:line="440" w:lineRule="exact"/>
        <w:ind w:firstLine="422" w:firstLineChars="200"/>
        <w:rPr>
          <w:rFonts w:ascii="宋体" w:eastAsia="宋体"/>
          <w:b/>
          <w:color w:val="FF0000"/>
          <w:szCs w:val="21"/>
        </w:rPr>
      </w:pPr>
      <w:r>
        <w:rPr>
          <w:rFonts w:hint="eastAsia" w:ascii="宋体" w:eastAsia="宋体"/>
          <w:b/>
          <w:color w:val="FF0000"/>
          <w:szCs w:val="21"/>
        </w:rPr>
        <w:t xml:space="preserve">（二）不同投标供应商的法定代表人、主要经营负责人、项目投标授权代表人、项目负责人、主要技术人员为同一人、属同一单位或者在同一单位缴纳社会保险；          </w:t>
      </w:r>
    </w:p>
    <w:p w14:paraId="0582EC57">
      <w:pPr>
        <w:spacing w:line="440" w:lineRule="exact"/>
        <w:ind w:firstLine="422" w:firstLineChars="200"/>
        <w:rPr>
          <w:rFonts w:ascii="宋体" w:eastAsia="宋体"/>
          <w:b/>
          <w:color w:val="FF0000"/>
          <w:szCs w:val="21"/>
        </w:rPr>
      </w:pPr>
      <w:r>
        <w:rPr>
          <w:rFonts w:hint="eastAsia" w:ascii="宋体" w:eastAsia="宋体"/>
          <w:b/>
          <w:color w:val="FF0000"/>
          <w:szCs w:val="21"/>
        </w:rPr>
        <w:t>（三）不同投标供应商的投标文件由同一单位或者同一人编制，或者由同一人分阶段参与编制的；</w:t>
      </w:r>
    </w:p>
    <w:p w14:paraId="301EE641">
      <w:pPr>
        <w:spacing w:line="440" w:lineRule="exact"/>
        <w:ind w:firstLine="422" w:firstLineChars="200"/>
        <w:rPr>
          <w:rFonts w:ascii="宋体" w:eastAsia="宋体"/>
          <w:b/>
          <w:color w:val="FF0000"/>
          <w:szCs w:val="21"/>
        </w:rPr>
      </w:pPr>
      <w:r>
        <w:rPr>
          <w:rFonts w:hint="eastAsia" w:ascii="宋体" w:eastAsia="宋体"/>
          <w:b/>
          <w:color w:val="FF0000"/>
          <w:szCs w:val="21"/>
        </w:rPr>
        <w:t>（四）不同投标供应商的投标文件或部分投标文件相互混装；</w:t>
      </w:r>
    </w:p>
    <w:p w14:paraId="480112BB">
      <w:pPr>
        <w:spacing w:line="440" w:lineRule="exact"/>
        <w:ind w:firstLine="422" w:firstLineChars="200"/>
        <w:rPr>
          <w:rFonts w:ascii="宋体" w:eastAsia="宋体"/>
          <w:b/>
          <w:color w:val="FF0000"/>
          <w:szCs w:val="21"/>
        </w:rPr>
      </w:pPr>
      <w:r>
        <w:rPr>
          <w:rFonts w:hint="eastAsia" w:ascii="宋体" w:eastAsia="宋体"/>
          <w:b/>
          <w:color w:val="FF0000"/>
          <w:szCs w:val="21"/>
        </w:rPr>
        <w:t>（五）不同投标供应商的投标文件内容存在非正常一致；</w:t>
      </w:r>
    </w:p>
    <w:p w14:paraId="2C1549F9">
      <w:pPr>
        <w:spacing w:line="440" w:lineRule="exact"/>
        <w:ind w:firstLine="422" w:firstLineChars="200"/>
        <w:rPr>
          <w:rFonts w:ascii="宋体" w:eastAsia="宋体"/>
          <w:b/>
          <w:color w:val="FF0000"/>
          <w:szCs w:val="21"/>
        </w:rPr>
      </w:pPr>
      <w:r>
        <w:rPr>
          <w:rFonts w:hint="eastAsia" w:ascii="宋体" w:eastAsia="宋体"/>
          <w:b/>
          <w:color w:val="FF0000"/>
          <w:szCs w:val="21"/>
        </w:rPr>
        <w:t>（六）由同一单位工作人员为两家以上（含两家）供应商进行同一项投标活动的；</w:t>
      </w:r>
    </w:p>
    <w:p w14:paraId="591C8451">
      <w:pPr>
        <w:spacing w:line="440" w:lineRule="exact"/>
        <w:ind w:firstLine="422" w:firstLineChars="200"/>
        <w:rPr>
          <w:rFonts w:ascii="宋体" w:eastAsia="宋体"/>
          <w:b/>
          <w:color w:val="FF0000"/>
          <w:szCs w:val="21"/>
        </w:rPr>
      </w:pPr>
      <w:r>
        <w:rPr>
          <w:rFonts w:hint="eastAsia" w:ascii="宋体" w:eastAsia="宋体"/>
          <w:b/>
          <w:color w:val="FF0000"/>
          <w:szCs w:val="21"/>
        </w:rPr>
        <w:t>（七）主管部门依照法律、法规认定的其他情形。</w:t>
      </w:r>
    </w:p>
    <w:p w14:paraId="3A213F82">
      <w:pPr>
        <w:spacing w:line="440" w:lineRule="exact"/>
        <w:ind w:firstLine="420" w:firstLineChars="200"/>
        <w:rPr>
          <w:rFonts w:ascii="宋体" w:eastAsia="宋体"/>
          <w:szCs w:val="21"/>
        </w:rPr>
      </w:pPr>
      <w:r>
        <w:rPr>
          <w:rFonts w:hint="eastAsia" w:ascii="宋体" w:eastAsia="宋体"/>
          <w:szCs w:val="21"/>
        </w:rPr>
        <w:t>第七十七条 供应商有下列情形之一的，属于隐瞒真实情况，提供虚假资料，按照采购条例第五十七的有关规定处理：</w:t>
      </w:r>
    </w:p>
    <w:p w14:paraId="5D543920">
      <w:pPr>
        <w:spacing w:line="440" w:lineRule="exact"/>
        <w:ind w:firstLine="420" w:firstLineChars="200"/>
        <w:rPr>
          <w:rFonts w:ascii="宋体" w:eastAsia="宋体"/>
          <w:szCs w:val="21"/>
        </w:rPr>
      </w:pPr>
      <w:r>
        <w:rPr>
          <w:rFonts w:hint="eastAsia" w:ascii="宋体" w:eastAsia="宋体"/>
          <w:szCs w:val="21"/>
        </w:rPr>
        <w:t>（一）通过转让或者租借等方式从其他单位获取资格或者资质证书投标的；</w:t>
      </w:r>
    </w:p>
    <w:p w14:paraId="44391DBD">
      <w:pPr>
        <w:spacing w:line="440" w:lineRule="exact"/>
        <w:ind w:firstLine="420" w:firstLineChars="200"/>
        <w:rPr>
          <w:rFonts w:ascii="宋体" w:eastAsia="宋体"/>
          <w:szCs w:val="21"/>
        </w:rPr>
      </w:pPr>
      <w:r>
        <w:rPr>
          <w:rFonts w:hint="eastAsia" w:ascii="宋体" w:eastAsia="宋体"/>
          <w:szCs w:val="21"/>
        </w:rPr>
        <w:t>（二）由其他单位或者其他单位负责人在投标供应商编制的投标文件上加盖印章或者签字的；</w:t>
      </w:r>
    </w:p>
    <w:p w14:paraId="5B72A178">
      <w:pPr>
        <w:spacing w:line="440" w:lineRule="exact"/>
        <w:ind w:firstLine="420" w:firstLineChars="200"/>
        <w:rPr>
          <w:rFonts w:ascii="宋体" w:eastAsia="宋体"/>
          <w:szCs w:val="21"/>
        </w:rPr>
      </w:pPr>
      <w:r>
        <w:rPr>
          <w:rFonts w:hint="eastAsia" w:ascii="宋体" w:eastAsia="宋体"/>
          <w:szCs w:val="21"/>
        </w:rPr>
        <w:t>（三）项目负责人或者主要技术人员不是本单位人员的；</w:t>
      </w:r>
    </w:p>
    <w:p w14:paraId="79E46CAF">
      <w:pPr>
        <w:spacing w:line="440" w:lineRule="exact"/>
        <w:ind w:firstLine="420" w:firstLineChars="200"/>
        <w:rPr>
          <w:rFonts w:ascii="宋体" w:eastAsia="宋体"/>
          <w:szCs w:val="21"/>
        </w:rPr>
      </w:pPr>
      <w:r>
        <w:rPr>
          <w:rFonts w:hint="eastAsia" w:ascii="宋体" w:eastAsia="宋体"/>
          <w:szCs w:val="21"/>
        </w:rPr>
        <w:t>（四）投标保证金不是从投标供应商基本账户转出的；</w:t>
      </w:r>
    </w:p>
    <w:p w14:paraId="1188DA13">
      <w:pPr>
        <w:spacing w:line="440" w:lineRule="exact"/>
        <w:ind w:firstLine="420" w:firstLineChars="200"/>
        <w:rPr>
          <w:rFonts w:ascii="宋体" w:eastAsia="宋体"/>
          <w:szCs w:val="21"/>
        </w:rPr>
      </w:pPr>
      <w:r>
        <w:rPr>
          <w:rFonts w:hint="eastAsia" w:ascii="宋体" w:eastAsia="宋体"/>
          <w:szCs w:val="21"/>
        </w:rPr>
        <w:t>（五）其他隐瞒真实情况、提供虚假资料的行为。</w:t>
      </w:r>
    </w:p>
    <w:p w14:paraId="5F26914D">
      <w:pPr>
        <w:spacing w:line="440" w:lineRule="exact"/>
        <w:ind w:firstLine="371" w:firstLineChars="177"/>
        <w:rPr>
          <w:rFonts w:ascii="宋体" w:eastAsia="宋体"/>
          <w:szCs w:val="21"/>
        </w:rPr>
      </w:pPr>
      <w:r>
        <w:rPr>
          <w:rFonts w:hint="eastAsia" w:ascii="宋体" w:eastAsia="宋体"/>
          <w:szCs w:val="21"/>
        </w:rPr>
        <w:t>投标供应商不能提供项目负责人或者主要技术人员的劳动合同、社会保险等劳动关系证明材料的，视为存在前款第（三）项规定的情形。</w:t>
      </w:r>
    </w:p>
    <w:p w14:paraId="0C47E6AE">
      <w:pPr>
        <w:widowControl/>
        <w:spacing w:after="120"/>
        <w:jc w:val="left"/>
        <w:rPr>
          <w:rFonts w:eastAsia="宋体"/>
          <w:kern w:val="0"/>
          <w:sz w:val="24"/>
        </w:rPr>
      </w:pPr>
    </w:p>
    <w:p w14:paraId="5BCBD434">
      <w:pPr>
        <w:spacing w:line="440" w:lineRule="exact"/>
        <w:ind w:firstLine="420" w:firstLineChars="200"/>
        <w:rPr>
          <w:rFonts w:ascii="宋体" w:eastAsia="宋体"/>
          <w:szCs w:val="21"/>
        </w:rPr>
      </w:pPr>
      <w:r>
        <w:rPr>
          <w:rFonts w:hint="eastAsia" w:ascii="宋体" w:eastAsia="宋体"/>
          <w:szCs w:val="21"/>
        </w:rPr>
        <w:t>三、《中华人民共和国政府采购法实施条例》</w:t>
      </w:r>
    </w:p>
    <w:p w14:paraId="49E0F398">
      <w:pPr>
        <w:spacing w:line="440" w:lineRule="exact"/>
        <w:ind w:firstLine="371" w:firstLineChars="177"/>
        <w:rPr>
          <w:rFonts w:ascii="宋体" w:eastAsia="宋体"/>
          <w:szCs w:val="21"/>
        </w:rPr>
      </w:pPr>
      <w:r>
        <w:rPr>
          <w:rFonts w:hint="eastAsia" w:ascii="宋体" w:eastAsia="宋体"/>
          <w:szCs w:val="21"/>
        </w:rPr>
        <w:t>第十八条 单位负责人为同一人或者存在直接控股、管理关系的不同供应商，不得参加同一合同项下的政府采购活动。</w:t>
      </w:r>
    </w:p>
    <w:p w14:paraId="39988F35">
      <w:pPr>
        <w:spacing w:line="440" w:lineRule="exact"/>
        <w:ind w:firstLine="371" w:firstLineChars="177"/>
        <w:rPr>
          <w:rFonts w:ascii="宋体" w:eastAsia="宋体"/>
          <w:szCs w:val="21"/>
        </w:rPr>
      </w:pPr>
      <w:r>
        <w:rPr>
          <w:rFonts w:hint="eastAsia" w:ascii="宋体" w:eastAsia="宋体"/>
          <w:szCs w:val="21"/>
        </w:rPr>
        <w:t>除单一来源采购项目外，为采购项目提供整体设计、规范编制或者项目管理、监理、检测等服务的供应商，不得再参加该采购项目的其他采购活动。</w:t>
      </w:r>
    </w:p>
    <w:p w14:paraId="66A7CABE">
      <w:pPr>
        <w:spacing w:line="440" w:lineRule="exact"/>
        <w:ind w:firstLine="373" w:firstLineChars="177"/>
        <w:rPr>
          <w:rFonts w:ascii="宋体" w:eastAsia="宋体"/>
          <w:b/>
          <w:color w:val="FF0000"/>
          <w:szCs w:val="21"/>
        </w:rPr>
      </w:pPr>
    </w:p>
    <w:p w14:paraId="060E8FC4">
      <w:pPr>
        <w:spacing w:line="440" w:lineRule="exact"/>
        <w:ind w:left="0" w:firstLine="420" w:firstLineChars="200"/>
        <w:rPr>
          <w:rFonts w:hint="eastAsia" w:ascii="宋体" w:eastAsia="宋体"/>
          <w:szCs w:val="21"/>
          <w:lang w:val="en-US" w:eastAsia="zh-CN"/>
        </w:rPr>
      </w:pPr>
      <w:r>
        <w:rPr>
          <w:rFonts w:hint="eastAsia" w:ascii="宋体" w:eastAsia="宋体"/>
          <w:szCs w:val="21"/>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14:paraId="00DCD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ign w:val="center"/>
          </w:tcPr>
          <w:p w14:paraId="6F56657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序号</w:t>
            </w:r>
          </w:p>
        </w:tc>
        <w:tc>
          <w:tcPr>
            <w:tcW w:w="7711" w:type="dxa"/>
            <w:noWrap/>
            <w:vAlign w:val="center"/>
          </w:tcPr>
          <w:p w14:paraId="49208F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eastAsia="宋体" w:cs="宋体"/>
                <w:color w:val="auto"/>
                <w:sz w:val="21"/>
                <w:szCs w:val="21"/>
                <w:highlight w:val="none"/>
                <w:lang w:val="en-US" w:eastAsia="zh-CN"/>
              </w:rPr>
            </w:pPr>
            <w:r>
              <w:rPr>
                <w:rFonts w:hint="eastAsia" w:ascii="宋体" w:eastAsia="宋体" w:cs="宋体"/>
                <w:b/>
                <w:bCs/>
                <w:color w:val="auto"/>
                <w:sz w:val="21"/>
                <w:szCs w:val="21"/>
                <w:highlight w:val="none"/>
                <w:lang w:val="en-US" w:eastAsia="zh-CN"/>
              </w:rPr>
              <w:t>供应商参与投标禁止情形</w:t>
            </w:r>
          </w:p>
        </w:tc>
      </w:tr>
      <w:tr w14:paraId="41270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ign w:val="center"/>
          </w:tcPr>
          <w:p w14:paraId="03075F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1</w:t>
            </w:r>
          </w:p>
        </w:tc>
        <w:tc>
          <w:tcPr>
            <w:tcW w:w="7711" w:type="dxa"/>
            <w:noWrap/>
            <w:vAlign w:val="center"/>
          </w:tcPr>
          <w:p w14:paraId="2327D01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eastAsia="宋体" w:cs="宋体"/>
                <w:b/>
                <w:bCs/>
                <w:color w:val="auto"/>
                <w:sz w:val="21"/>
                <w:szCs w:val="21"/>
                <w:highlight w:val="none"/>
                <w:lang w:val="en-US" w:eastAsia="zh-CN"/>
              </w:rPr>
              <w:t>同一人、属同一单位或者在同一单位缴纳社会保险</w:t>
            </w:r>
            <w:r>
              <w:rPr>
                <w:rFonts w:hint="eastAsia" w:ascii="宋体" w:eastAsia="宋体" w:cs="宋体"/>
                <w:color w:val="auto"/>
                <w:sz w:val="21"/>
                <w:szCs w:val="21"/>
                <w:highlight w:val="none"/>
                <w:lang w:val="en-US" w:eastAsia="zh-CN"/>
              </w:rPr>
              <w:t>。</w:t>
            </w:r>
          </w:p>
        </w:tc>
      </w:tr>
      <w:tr w14:paraId="1AC6A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ign w:val="center"/>
          </w:tcPr>
          <w:p w14:paraId="78D18F8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2</w:t>
            </w:r>
          </w:p>
        </w:tc>
        <w:tc>
          <w:tcPr>
            <w:tcW w:w="7711" w:type="dxa"/>
            <w:noWrap/>
            <w:vAlign w:val="center"/>
          </w:tcPr>
          <w:p w14:paraId="1284091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参与本项目政府采购活动时，与其他投标供应商存在单位负责人为</w:t>
            </w:r>
            <w:r>
              <w:rPr>
                <w:rFonts w:hint="eastAsia" w:ascii="宋体" w:eastAsia="宋体" w:cs="宋体"/>
                <w:b/>
                <w:bCs/>
                <w:color w:val="auto"/>
                <w:sz w:val="21"/>
                <w:szCs w:val="21"/>
                <w:highlight w:val="none"/>
                <w:lang w:val="en-US" w:eastAsia="zh-CN"/>
              </w:rPr>
              <w:t>同一人或直接控股、管理关系</w:t>
            </w:r>
            <w:r>
              <w:rPr>
                <w:rFonts w:hint="eastAsia" w:ascii="宋体" w:eastAsia="宋体" w:cs="宋体"/>
                <w:color w:val="auto"/>
                <w:sz w:val="21"/>
                <w:szCs w:val="21"/>
                <w:highlight w:val="none"/>
                <w:lang w:val="en-US" w:eastAsia="zh-CN"/>
              </w:rPr>
              <w:t>。</w:t>
            </w:r>
          </w:p>
        </w:tc>
      </w:tr>
      <w:tr w14:paraId="5B311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ign w:val="center"/>
          </w:tcPr>
          <w:p w14:paraId="253B0B0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3</w:t>
            </w:r>
          </w:p>
        </w:tc>
        <w:tc>
          <w:tcPr>
            <w:tcW w:w="7711" w:type="dxa"/>
            <w:noWrap/>
            <w:vAlign w:val="center"/>
          </w:tcPr>
          <w:p w14:paraId="6DF8E67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与其他投标供应商的投标文件或部分投标文件</w:t>
            </w:r>
            <w:r>
              <w:rPr>
                <w:rFonts w:hint="eastAsia" w:ascii="宋体" w:eastAsia="宋体" w:cs="宋体"/>
                <w:b/>
                <w:bCs/>
                <w:color w:val="auto"/>
                <w:sz w:val="21"/>
                <w:szCs w:val="21"/>
                <w:highlight w:val="none"/>
                <w:lang w:val="en-US" w:eastAsia="zh-CN"/>
              </w:rPr>
              <w:t>相互混装或存在非正常一致</w:t>
            </w:r>
            <w:r>
              <w:rPr>
                <w:rFonts w:hint="eastAsia" w:ascii="宋体" w:eastAsia="宋体" w:cs="宋体"/>
                <w:color w:val="auto"/>
                <w:sz w:val="21"/>
                <w:szCs w:val="21"/>
                <w:highlight w:val="none"/>
                <w:lang w:val="en-US" w:eastAsia="zh-CN"/>
              </w:rPr>
              <w:t>。</w:t>
            </w:r>
          </w:p>
        </w:tc>
      </w:tr>
      <w:tr w14:paraId="16428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ign w:val="center"/>
          </w:tcPr>
          <w:p w14:paraId="3DA1D69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4</w:t>
            </w:r>
          </w:p>
        </w:tc>
        <w:tc>
          <w:tcPr>
            <w:tcW w:w="7711" w:type="dxa"/>
            <w:noWrap/>
            <w:vAlign w:val="center"/>
          </w:tcPr>
          <w:p w14:paraId="4F32518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eastAsia="宋体" w:cs="宋体"/>
                <w:color w:val="auto"/>
                <w:kern w:val="2"/>
                <w:sz w:val="21"/>
                <w:szCs w:val="21"/>
                <w:highlight w:val="none"/>
                <w:lang w:val="en-US" w:eastAsia="zh-CN" w:bidi="ar-SA"/>
              </w:rPr>
            </w:pPr>
            <w:r>
              <w:rPr>
                <w:rFonts w:hint="eastAsia" w:ascii="宋体" w:eastAsia="宋体" w:cs="宋体"/>
                <w:color w:val="auto"/>
                <w:sz w:val="21"/>
                <w:szCs w:val="21"/>
                <w:highlight w:val="none"/>
                <w:lang w:val="en-US" w:eastAsia="zh-CN"/>
              </w:rPr>
              <w:t>与其他投标供应商的投标文件由</w:t>
            </w:r>
            <w:r>
              <w:rPr>
                <w:rFonts w:hint="eastAsia" w:ascii="宋体" w:eastAsia="宋体" w:cs="宋体"/>
                <w:b/>
                <w:bCs/>
                <w:color w:val="auto"/>
                <w:sz w:val="21"/>
                <w:szCs w:val="21"/>
                <w:highlight w:val="none"/>
                <w:lang w:val="en-US" w:eastAsia="zh-CN"/>
              </w:rPr>
              <w:t>同一单位或者同一人编制</w:t>
            </w:r>
            <w:r>
              <w:rPr>
                <w:rFonts w:hint="eastAsia" w:ascii="宋体" w:eastAsia="宋体" w:cs="宋体"/>
                <w:color w:val="auto"/>
                <w:sz w:val="21"/>
                <w:szCs w:val="21"/>
                <w:highlight w:val="none"/>
                <w:lang w:val="en-US" w:eastAsia="zh-CN"/>
              </w:rPr>
              <w:t>，或者使用</w:t>
            </w:r>
            <w:r>
              <w:rPr>
                <w:rFonts w:hint="eastAsia" w:ascii="宋体" w:eastAsia="宋体" w:cs="宋体"/>
                <w:b/>
                <w:bCs/>
                <w:color w:val="auto"/>
                <w:sz w:val="21"/>
                <w:szCs w:val="21"/>
                <w:highlight w:val="none"/>
                <w:lang w:val="en-US" w:eastAsia="zh-CN"/>
              </w:rPr>
              <w:t>同一设备编制</w:t>
            </w:r>
            <w:r>
              <w:rPr>
                <w:rFonts w:hint="eastAsia" w:ascii="宋体" w:eastAsia="宋体" w:cs="宋体"/>
                <w:color w:val="auto"/>
                <w:sz w:val="21"/>
                <w:szCs w:val="21"/>
                <w:highlight w:val="none"/>
                <w:lang w:val="en-US" w:eastAsia="zh-CN"/>
              </w:rPr>
              <w:t>（“文件制作机器码”“文件创建标识码”一致）。</w:t>
            </w:r>
          </w:p>
        </w:tc>
      </w:tr>
      <w:tr w14:paraId="31FCB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ign w:val="center"/>
          </w:tcPr>
          <w:p w14:paraId="4709E09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5</w:t>
            </w:r>
          </w:p>
        </w:tc>
        <w:tc>
          <w:tcPr>
            <w:tcW w:w="7711" w:type="dxa"/>
            <w:noWrap/>
            <w:vAlign w:val="center"/>
          </w:tcPr>
          <w:p w14:paraId="5C59BD1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提供</w:t>
            </w:r>
            <w:r>
              <w:rPr>
                <w:rFonts w:hint="eastAsia" w:ascii="宋体" w:eastAsia="宋体" w:cs="宋体"/>
                <w:b/>
                <w:bCs/>
                <w:color w:val="auto"/>
                <w:sz w:val="21"/>
                <w:szCs w:val="21"/>
                <w:highlight w:val="none"/>
                <w:lang w:val="en-US" w:eastAsia="zh-CN"/>
              </w:rPr>
              <w:t>未经出具机构核实</w:t>
            </w:r>
            <w:r>
              <w:rPr>
                <w:rFonts w:hint="eastAsia" w:ascii="宋体" w:eastAsia="宋体" w:cs="宋体"/>
                <w:color w:val="auto"/>
                <w:sz w:val="21"/>
                <w:szCs w:val="21"/>
                <w:highlight w:val="none"/>
                <w:lang w:val="en-US" w:eastAsia="zh-CN"/>
              </w:rPr>
              <w:t>的虚假的检验检测报告、业绩材料、社保缴纳证明、学历学位证书、职称认证证书等材料。</w:t>
            </w:r>
          </w:p>
        </w:tc>
      </w:tr>
      <w:tr w14:paraId="782DA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ign w:val="center"/>
          </w:tcPr>
          <w:p w14:paraId="758B1CF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6</w:t>
            </w:r>
          </w:p>
        </w:tc>
        <w:tc>
          <w:tcPr>
            <w:tcW w:w="7711" w:type="dxa"/>
            <w:noWrap/>
            <w:vAlign w:val="center"/>
          </w:tcPr>
          <w:p w14:paraId="2A1B802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eastAsia="宋体" w:cs="宋体"/>
                <w:color w:val="auto"/>
                <w:kern w:val="2"/>
                <w:sz w:val="21"/>
                <w:szCs w:val="21"/>
                <w:highlight w:val="none"/>
                <w:lang w:val="en-US" w:eastAsia="zh-CN" w:bidi="ar-SA"/>
              </w:rPr>
            </w:pPr>
            <w:r>
              <w:rPr>
                <w:rFonts w:hint="eastAsia" w:ascii="宋体" w:eastAsia="宋体" w:cs="宋体"/>
                <w:color w:val="auto"/>
                <w:sz w:val="21"/>
                <w:szCs w:val="21"/>
                <w:highlight w:val="none"/>
                <w:lang w:val="en-US" w:eastAsia="zh-CN"/>
              </w:rPr>
              <w:t>擅自将投标密钥</w:t>
            </w:r>
            <w:r>
              <w:rPr>
                <w:rFonts w:hint="eastAsia" w:ascii="宋体" w:eastAsia="宋体" w:cs="宋体"/>
                <w:color w:val="auto"/>
                <w:sz w:val="21"/>
                <w:szCs w:val="21"/>
                <w:highlight w:val="none"/>
                <w:lang w:eastAsia="zh-CN"/>
              </w:rPr>
              <w:t>或</w:t>
            </w:r>
            <w:r>
              <w:rPr>
                <w:rFonts w:hint="eastAsia" w:ascii="宋体" w:eastAsia="宋体" w:cs="宋体"/>
                <w:color w:val="auto"/>
                <w:sz w:val="21"/>
                <w:szCs w:val="21"/>
                <w:highlight w:val="none"/>
                <w:lang w:val="en-US" w:eastAsia="zh-CN"/>
              </w:rPr>
              <w:t>电子营业执照出借他人使用或未妥善保管。</w:t>
            </w:r>
          </w:p>
        </w:tc>
      </w:tr>
    </w:tbl>
    <w:p w14:paraId="28B06FF0">
      <w:pPr>
        <w:widowControl/>
        <w:jc w:val="left"/>
        <w:rPr>
          <w:sz w:val="40"/>
          <w:szCs w:val="40"/>
        </w:rPr>
      </w:pPr>
      <w:r>
        <w:rPr>
          <w:sz w:val="40"/>
          <w:szCs w:val="40"/>
        </w:rPr>
        <w:br w:type="page"/>
      </w:r>
    </w:p>
    <w:p w14:paraId="27CB2210">
      <w:pPr>
        <w:pStyle w:val="37"/>
        <w:spacing w:after="480"/>
        <w:jc w:val="center"/>
        <w:outlineLvl w:val="1"/>
        <w:rPr>
          <w:rFonts w:hint="eastAsia" w:eastAsia="宋体"/>
          <w:sz w:val="40"/>
          <w:szCs w:val="40"/>
          <w:lang w:eastAsia="zh-CN"/>
        </w:rPr>
      </w:pPr>
      <w:r>
        <w:rPr>
          <w:rFonts w:hint="eastAsia"/>
          <w:sz w:val="40"/>
          <w:szCs w:val="40"/>
          <w:lang w:eastAsia="zh-CN"/>
        </w:rPr>
        <w:t>深圳市公安局宝安分局海防查缉防控高速摩托艇采购项目</w:t>
      </w:r>
    </w:p>
    <w:p w14:paraId="0674680E">
      <w:pPr>
        <w:pStyle w:val="37"/>
        <w:spacing w:after="480"/>
        <w:jc w:val="center"/>
        <w:outlineLvl w:val="1"/>
        <w:rPr>
          <w:rFonts w:ascii="黑体" w:eastAsia="黑体"/>
          <w:sz w:val="40"/>
          <w:szCs w:val="40"/>
        </w:rPr>
      </w:pPr>
      <w:r>
        <w:rPr>
          <w:rFonts w:hint="eastAsia" w:ascii="黑体" w:eastAsia="黑体"/>
          <w:sz w:val="40"/>
          <w:szCs w:val="40"/>
        </w:rPr>
        <w:t>招标文件信息</w:t>
      </w:r>
    </w:p>
    <w:tbl>
      <w:tblPr>
        <w:tblStyle w:val="42"/>
        <w:tblW w:w="7938" w:type="dxa"/>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45" w:type="dxa"/>
          <w:left w:w="45" w:type="dxa"/>
          <w:bottom w:w="45" w:type="dxa"/>
          <w:right w:w="45" w:type="dxa"/>
        </w:tblCellMar>
      </w:tblPr>
      <w:tblGrid>
        <w:gridCol w:w="2722"/>
        <w:gridCol w:w="5216"/>
      </w:tblGrid>
      <w:tr w14:paraId="6088A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37" w:hRule="atLeast"/>
          <w:tblCellSpacing w:w="0" w:type="dxa"/>
          <w:jc w:val="center"/>
        </w:trPr>
        <w:tc>
          <w:tcPr>
            <w:tcW w:w="2722" w:type="dxa"/>
            <w:vAlign w:val="center"/>
          </w:tcPr>
          <w:p w14:paraId="39307898">
            <w:pPr>
              <w:jc w:val="right"/>
              <w:rPr>
                <w:rFonts w:ascii="宋体" w:eastAsia="宋体"/>
                <w:sz w:val="30"/>
                <w:szCs w:val="30"/>
              </w:rPr>
            </w:pPr>
            <w:r>
              <w:rPr>
                <w:rFonts w:ascii="宋体" w:eastAsia="宋体"/>
                <w:sz w:val="30"/>
                <w:szCs w:val="30"/>
              </w:rPr>
              <w:t>项目编号：</w:t>
            </w:r>
          </w:p>
        </w:tc>
        <w:tc>
          <w:tcPr>
            <w:vAlign w:val="center"/>
          </w:tcPr>
          <w:p w14:paraId="598C3A92">
            <w:pPr>
              <w:jc w:val="left"/>
              <w:rPr>
                <w:rFonts w:hint="eastAsia" w:ascii="宋体" w:eastAsia="宋体"/>
                <w:sz w:val="30"/>
                <w:szCs w:val="30"/>
                <w:lang w:eastAsia="zh-CN"/>
              </w:rPr>
            </w:pPr>
            <w:r>
              <w:rPr>
                <w:rFonts w:hint="eastAsia" w:ascii="宋体"/>
                <w:sz w:val="30"/>
                <w:szCs w:val="30"/>
                <w:lang w:eastAsia="zh-CN"/>
              </w:rPr>
              <w:t>BADL2026000103</w:t>
            </w:r>
          </w:p>
        </w:tc>
      </w:tr>
      <w:tr w14:paraId="794A9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737" w:hRule="atLeast"/>
          <w:tblCellSpacing w:w="0" w:type="dxa"/>
          <w:jc w:val="center"/>
        </w:trPr>
        <w:tc>
          <w:tcPr>
            <w:vAlign w:val="center"/>
          </w:tcPr>
          <w:p w14:paraId="6204B034">
            <w:pPr>
              <w:jc w:val="right"/>
              <w:rPr>
                <w:rFonts w:ascii="宋体" w:eastAsia="宋体"/>
                <w:sz w:val="30"/>
                <w:szCs w:val="30"/>
              </w:rPr>
            </w:pPr>
            <w:r>
              <w:rPr>
                <w:rFonts w:ascii="宋体" w:eastAsia="宋体"/>
                <w:sz w:val="30"/>
                <w:szCs w:val="30"/>
              </w:rPr>
              <w:t>项目名称：</w:t>
            </w:r>
          </w:p>
        </w:tc>
        <w:tc>
          <w:tcPr>
            <w:vAlign w:val="center"/>
          </w:tcPr>
          <w:p w14:paraId="46A79313">
            <w:pPr>
              <w:jc w:val="left"/>
              <w:rPr>
                <w:rFonts w:hint="eastAsia" w:ascii="宋体" w:eastAsia="宋体"/>
                <w:sz w:val="30"/>
                <w:szCs w:val="30"/>
                <w:lang w:eastAsia="zh-CN"/>
              </w:rPr>
            </w:pPr>
            <w:r>
              <w:rPr>
                <w:rFonts w:hint="eastAsia" w:ascii="宋体"/>
                <w:sz w:val="30"/>
                <w:szCs w:val="30"/>
                <w:lang w:eastAsia="zh-CN"/>
              </w:rPr>
              <w:t>深圳市公安局宝安分局海防查缉防控高速摩托艇采购项目</w:t>
            </w:r>
          </w:p>
        </w:tc>
      </w:tr>
      <w:tr w14:paraId="07F81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737" w:hRule="atLeast"/>
          <w:tblCellSpacing w:w="0" w:type="dxa"/>
          <w:jc w:val="center"/>
        </w:trPr>
        <w:tc>
          <w:tcPr>
            <w:vAlign w:val="center"/>
          </w:tcPr>
          <w:p w14:paraId="25AC0F27">
            <w:pPr>
              <w:jc w:val="right"/>
              <w:rPr>
                <w:rFonts w:ascii="宋体" w:eastAsia="宋体"/>
                <w:sz w:val="30"/>
                <w:szCs w:val="30"/>
              </w:rPr>
            </w:pPr>
            <w:r>
              <w:rPr>
                <w:rFonts w:ascii="宋体" w:eastAsia="宋体"/>
                <w:sz w:val="30"/>
                <w:szCs w:val="30"/>
              </w:rPr>
              <w:t>包 号：</w:t>
            </w:r>
          </w:p>
        </w:tc>
        <w:tc>
          <w:tcPr>
            <w:vAlign w:val="center"/>
          </w:tcPr>
          <w:p w14:paraId="68A11952">
            <w:pPr>
              <w:jc w:val="left"/>
              <w:rPr>
                <w:rFonts w:ascii="宋体" w:eastAsia="宋体"/>
                <w:sz w:val="30"/>
                <w:szCs w:val="30"/>
              </w:rPr>
            </w:pPr>
            <w:r>
              <w:rPr>
                <w:rFonts w:ascii="宋体" w:eastAsia="宋体"/>
                <w:sz w:val="30"/>
                <w:szCs w:val="30"/>
              </w:rPr>
              <w:t>A</w:t>
            </w:r>
          </w:p>
        </w:tc>
      </w:tr>
      <w:tr w14:paraId="059C6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737" w:hRule="atLeast"/>
          <w:tblCellSpacing w:w="0" w:type="dxa"/>
          <w:jc w:val="center"/>
        </w:trPr>
        <w:tc>
          <w:tcPr>
            <w:vAlign w:val="center"/>
          </w:tcPr>
          <w:p w14:paraId="0F093768">
            <w:pPr>
              <w:jc w:val="right"/>
              <w:rPr>
                <w:sz w:val="30"/>
                <w:szCs w:val="30"/>
              </w:rPr>
            </w:pPr>
            <w:r>
              <w:rPr>
                <w:sz w:val="30"/>
                <w:szCs w:val="30"/>
              </w:rPr>
              <w:t>项目类型：</w:t>
            </w:r>
          </w:p>
        </w:tc>
        <w:tc>
          <w:tcPr>
            <w:vAlign w:val="center"/>
          </w:tcPr>
          <w:p w14:paraId="3009CEF0">
            <w:pPr>
              <w:jc w:val="left"/>
              <w:rPr>
                <w:sz w:val="30"/>
                <w:szCs w:val="30"/>
              </w:rPr>
            </w:pPr>
            <w:r>
              <w:rPr>
                <w:sz w:val="30"/>
                <w:szCs w:val="30"/>
              </w:rPr>
              <w:t>货物类</w:t>
            </w:r>
          </w:p>
        </w:tc>
      </w:tr>
      <w:tr w14:paraId="1F5BD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737" w:hRule="atLeast"/>
          <w:tblCellSpacing w:w="0" w:type="dxa"/>
          <w:jc w:val="center"/>
        </w:trPr>
        <w:tc>
          <w:tcPr>
            <w:vAlign w:val="center"/>
          </w:tcPr>
          <w:p w14:paraId="0CB6A743">
            <w:pPr>
              <w:jc w:val="right"/>
              <w:rPr>
                <w:sz w:val="30"/>
                <w:szCs w:val="30"/>
              </w:rPr>
            </w:pPr>
            <w:r>
              <w:rPr>
                <w:sz w:val="30"/>
                <w:szCs w:val="30"/>
              </w:rPr>
              <w:t>采购方式：</w:t>
            </w:r>
          </w:p>
        </w:tc>
        <w:tc>
          <w:tcPr>
            <w:vAlign w:val="center"/>
          </w:tcPr>
          <w:p w14:paraId="467F670E">
            <w:pPr>
              <w:jc w:val="left"/>
              <w:rPr>
                <w:sz w:val="30"/>
                <w:szCs w:val="30"/>
              </w:rPr>
            </w:pPr>
            <w:r>
              <w:rPr>
                <w:sz w:val="30"/>
                <w:szCs w:val="30"/>
              </w:rPr>
              <w:t>公开招标</w:t>
            </w:r>
          </w:p>
        </w:tc>
      </w:tr>
      <w:tr w14:paraId="0B080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737" w:hRule="atLeast"/>
          <w:tblCellSpacing w:w="0" w:type="dxa"/>
          <w:jc w:val="center"/>
        </w:trPr>
        <w:tc>
          <w:tcPr>
            <w:vAlign w:val="center"/>
          </w:tcPr>
          <w:p w14:paraId="0BBD51D6">
            <w:pPr>
              <w:jc w:val="right"/>
              <w:rPr>
                <w:sz w:val="30"/>
                <w:szCs w:val="30"/>
              </w:rPr>
            </w:pPr>
            <w:r>
              <w:rPr>
                <w:sz w:val="30"/>
                <w:szCs w:val="30"/>
              </w:rPr>
              <w:t>货币类型：</w:t>
            </w:r>
          </w:p>
        </w:tc>
        <w:tc>
          <w:tcPr>
            <w:vAlign w:val="center"/>
          </w:tcPr>
          <w:p w14:paraId="1A289A55">
            <w:pPr>
              <w:jc w:val="left"/>
              <w:rPr>
                <w:sz w:val="30"/>
                <w:szCs w:val="30"/>
              </w:rPr>
            </w:pPr>
            <w:r>
              <w:rPr>
                <w:sz w:val="30"/>
                <w:szCs w:val="30"/>
              </w:rPr>
              <w:t>人民币</w:t>
            </w:r>
          </w:p>
        </w:tc>
      </w:tr>
      <w:tr w14:paraId="3DBF7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737" w:hRule="atLeast"/>
          <w:tblCellSpacing w:w="0" w:type="dxa"/>
          <w:jc w:val="center"/>
        </w:trPr>
        <w:tc>
          <w:tcPr>
            <w:vAlign w:val="center"/>
          </w:tcPr>
          <w:p w14:paraId="7AE80A12">
            <w:pPr>
              <w:jc w:val="right"/>
              <w:rPr>
                <w:sz w:val="30"/>
                <w:szCs w:val="30"/>
              </w:rPr>
            </w:pPr>
            <w:r>
              <w:rPr>
                <w:sz w:val="30"/>
                <w:szCs w:val="30"/>
              </w:rPr>
              <w:t>评标方法：</w:t>
            </w:r>
          </w:p>
        </w:tc>
        <w:tc>
          <w:tcPr>
            <w:vAlign w:val="center"/>
          </w:tcPr>
          <w:p w14:paraId="7CDCDF9A">
            <w:pPr>
              <w:jc w:val="left"/>
              <w:rPr>
                <w:sz w:val="30"/>
                <w:szCs w:val="30"/>
              </w:rPr>
            </w:pPr>
            <w:r>
              <w:rPr>
                <w:sz w:val="30"/>
                <w:szCs w:val="30"/>
              </w:rPr>
              <w:t>综合评分法（新价格分算法）</w:t>
            </w:r>
          </w:p>
        </w:tc>
      </w:tr>
    </w:tbl>
    <w:p w14:paraId="0F417B71">
      <w:pPr>
        <w:pStyle w:val="37"/>
        <w:spacing w:after="156" w:afterLines="50"/>
        <w:jc w:val="center"/>
        <w:outlineLvl w:val="1"/>
        <w:rPr>
          <w:rFonts w:ascii="黑体" w:eastAsia="黑体"/>
          <w:sz w:val="40"/>
          <w:szCs w:val="40"/>
        </w:rPr>
      </w:pPr>
      <w:r>
        <w:rPr>
          <w:rFonts w:hint="eastAsia" w:ascii="黑体" w:eastAsia="黑体"/>
          <w:sz w:val="40"/>
          <w:szCs w:val="4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6421D7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21402D2">
            <w:pPr>
              <w:jc w:val="center"/>
              <w:rPr>
                <w:rFonts w:hint="eastAsia" w:ascii="宋体" w:eastAsia="宋体" w:cs="宋体"/>
                <w:sz w:val="28"/>
                <w:szCs w:val="28"/>
              </w:rPr>
            </w:pPr>
            <w:r>
              <w:rPr>
                <w:rFonts w:hint="eastAsia" w:ascii="宋体" w:eastAsia="宋体" w:cs="宋体"/>
                <w:sz w:val="28"/>
                <w:szCs w:val="28"/>
              </w:rPr>
              <w:t>序号</w:t>
            </w:r>
          </w:p>
        </w:tc>
        <w:tc>
          <w:tcPr>
            <w:tcBorders>
              <w:top w:val="single" w:color="000000" w:sz="8" w:space="0"/>
              <w:left w:val="single" w:color="000000" w:sz="8" w:space="0"/>
              <w:bottom w:val="single" w:color="000000" w:sz="8" w:space="0"/>
              <w:right w:val="single" w:color="000000" w:sz="8" w:space="0"/>
            </w:tcBorders>
            <w:shd w:val="clear" w:color="auto" w:fill="E6EFFA"/>
            <w:vAlign w:val="center"/>
          </w:tcPr>
          <w:p w14:paraId="7E7DD7BB">
            <w:pPr>
              <w:jc w:val="center"/>
              <w:rPr>
                <w:rFonts w:hint="eastAsia" w:ascii="宋体" w:eastAsia="宋体" w:cs="宋体"/>
                <w:sz w:val="28"/>
                <w:szCs w:val="28"/>
              </w:rPr>
            </w:pPr>
            <w:r>
              <w:rPr>
                <w:rFonts w:hint="eastAsia" w:ascii="宋体" w:eastAsia="宋体" w:cs="宋体"/>
                <w:sz w:val="28"/>
                <w:szCs w:val="28"/>
              </w:rPr>
              <w:t>内容</w:t>
            </w:r>
          </w:p>
        </w:tc>
      </w:tr>
      <w:tr w14:paraId="742293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1345133">
            <w:pPr>
              <w:jc w:val="center"/>
              <w:rPr>
                <w:rFonts w:hint="eastAsia" w:ascii="宋体" w:eastAsia="宋体" w:cs="宋体"/>
                <w:szCs w:val="21"/>
              </w:rPr>
            </w:pPr>
            <w:r>
              <w:rPr>
                <w:rFonts w:hint="eastAsia" w:ascii="宋体" w:eastAsia="宋体" w:cs="宋体"/>
                <w:szCs w:val="21"/>
              </w:rPr>
              <w:t>1</w:t>
            </w:r>
          </w:p>
        </w:tc>
        <w:tc>
          <w:tcPr>
            <w:tcBorders>
              <w:top w:val="single" w:color="000000" w:sz="8" w:space="0"/>
              <w:left w:val="single" w:color="000000" w:sz="8" w:space="0"/>
              <w:bottom w:val="single" w:color="000000" w:sz="8" w:space="0"/>
              <w:right w:val="single" w:color="000000" w:sz="8" w:space="0"/>
            </w:tcBorders>
          </w:tcPr>
          <w:p w14:paraId="2425C1CE">
            <w:pPr>
              <w:jc w:val="left"/>
              <w:rPr>
                <w:rFonts w:hint="eastAsia" w:ascii="宋体" w:eastAsia="宋体" w:cs="宋体"/>
                <w:szCs w:val="21"/>
              </w:rPr>
            </w:pPr>
            <w:r>
              <w:rPr>
                <w:rFonts w:hint="eastAsia" w:ascii="宋体" w:eastAsia="宋体" w:cs="宋体"/>
                <w:szCs w:val="21"/>
              </w:rPr>
              <w:t>投标人具备招标文件所列的资格要求，且提交相应的资格证明资料（详见招标公告申请人的资格要求）</w:t>
            </w:r>
          </w:p>
        </w:tc>
      </w:tr>
    </w:tbl>
    <w:p w14:paraId="4892B0E8">
      <w:pPr>
        <w:pStyle w:val="37"/>
        <w:spacing w:before="280" w:beforeAutospacing="0"/>
        <w:jc w:val="center"/>
        <w:outlineLvl w:val="1"/>
        <w:rPr>
          <w:rFonts w:ascii="黑体" w:eastAsia="黑体"/>
          <w:sz w:val="40"/>
          <w:szCs w:val="40"/>
        </w:rPr>
      </w:pPr>
      <w:r>
        <w:rPr>
          <w:rFonts w:hint="eastAsia" w:ascii="黑体" w:eastAsia="黑体"/>
          <w:sz w:val="40"/>
          <w:szCs w:val="4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3E50EA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4E3E98F8">
            <w:pPr>
              <w:jc w:val="center"/>
              <w:rPr>
                <w:rFonts w:hint="eastAsia" w:ascii="宋体" w:eastAsia="宋体" w:cs="宋体"/>
                <w:sz w:val="28"/>
                <w:szCs w:val="28"/>
              </w:rPr>
            </w:pPr>
            <w:r>
              <w:rPr>
                <w:rFonts w:hint="eastAsia" w:ascii="宋体" w:eastAsia="宋体" w:cs="宋体"/>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6E2BFFC4">
            <w:pPr>
              <w:jc w:val="center"/>
              <w:rPr>
                <w:rFonts w:hint="eastAsia" w:ascii="宋体" w:eastAsia="宋体" w:cs="宋体"/>
                <w:sz w:val="28"/>
                <w:szCs w:val="28"/>
              </w:rPr>
            </w:pPr>
            <w:r>
              <w:rPr>
                <w:rFonts w:hint="eastAsia" w:ascii="宋体" w:eastAsia="宋体" w:cs="宋体"/>
                <w:sz w:val="28"/>
                <w:szCs w:val="28"/>
              </w:rPr>
              <w:t>内容</w:t>
            </w:r>
          </w:p>
        </w:tc>
      </w:tr>
      <w:tr w14:paraId="2FBD13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4CFF0C3">
            <w:pPr>
              <w:jc w:val="center"/>
              <w:rPr>
                <w:rFonts w:hint="eastAsia" w:ascii="宋体" w:eastAsia="宋体" w:cs="宋体"/>
                <w:szCs w:val="21"/>
              </w:rPr>
            </w:pPr>
            <w:r>
              <w:rPr>
                <w:rFonts w:hint="eastAsia" w:ascii="宋体" w:eastAsia="宋体" w:cs="宋体"/>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30ACCC7C">
            <w:pPr>
              <w:rPr>
                <w:rFonts w:hint="eastAsia" w:ascii="宋体" w:eastAsia="宋体" w:cs="宋体"/>
                <w:szCs w:val="21"/>
              </w:rPr>
            </w:pPr>
            <w:r>
              <w:rPr>
                <w:rFonts w:hint="eastAsia" w:ascii="宋体" w:eastAsia="宋体" w:cs="宋体"/>
                <w:szCs w:val="21"/>
              </w:rPr>
              <w:t>未将一个包或一个标段的内容拆开投标</w:t>
            </w:r>
          </w:p>
        </w:tc>
      </w:tr>
      <w:tr w14:paraId="0710FC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77ECA4C">
            <w:pPr>
              <w:jc w:val="center"/>
              <w:rPr>
                <w:rFonts w:hint="eastAsia" w:ascii="宋体" w:eastAsia="宋体" w:cs="宋体"/>
                <w:szCs w:val="21"/>
              </w:rPr>
            </w:pPr>
            <w:r>
              <w:rPr>
                <w:rFonts w:hint="eastAsia" w:ascii="宋体" w:eastAsia="宋体" w:cs="宋体"/>
                <w:szCs w:val="21"/>
              </w:rPr>
              <w:t>2</w:t>
            </w:r>
          </w:p>
        </w:tc>
        <w:tc>
          <w:tcPr>
            <w:tcW w:w="8278" w:type="dxa"/>
            <w:tcBorders>
              <w:top w:val="single" w:color="000000" w:sz="8" w:space="0"/>
              <w:left w:val="single" w:color="000000" w:sz="8" w:space="0"/>
              <w:bottom w:val="single" w:color="000000" w:sz="8" w:space="0"/>
              <w:right w:val="single" w:color="000000" w:sz="8" w:space="0"/>
            </w:tcBorders>
          </w:tcPr>
          <w:p w14:paraId="00256159">
            <w:pPr>
              <w:rPr>
                <w:rFonts w:hint="eastAsia" w:ascii="宋体" w:eastAsia="宋体" w:cs="宋体"/>
                <w:szCs w:val="21"/>
              </w:rPr>
            </w:pPr>
            <w:r>
              <w:rPr>
                <w:rFonts w:hint="eastAsia" w:ascii="宋体" w:eastAsia="宋体" w:cs="宋体"/>
                <w:szCs w:val="21"/>
              </w:rPr>
              <w:t>对同一项目投标时，未提供两套及以上的投标方案（招标文件另有规定的除外）</w:t>
            </w:r>
          </w:p>
        </w:tc>
      </w:tr>
      <w:tr w14:paraId="52CB51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D60B35E">
            <w:pPr>
              <w:jc w:val="center"/>
              <w:rPr>
                <w:rFonts w:hint="eastAsia" w:ascii="宋体" w:eastAsia="宋体" w:cs="宋体"/>
                <w:szCs w:val="21"/>
              </w:rPr>
            </w:pPr>
            <w:r>
              <w:rPr>
                <w:rFonts w:hint="eastAsia" w:ascii="宋体" w:eastAsia="宋体" w:cs="宋体"/>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21F5C8FB">
            <w:pPr>
              <w:rPr>
                <w:rFonts w:hint="eastAsia" w:ascii="宋体" w:eastAsia="宋体" w:cs="宋体"/>
                <w:szCs w:val="21"/>
              </w:rPr>
            </w:pPr>
            <w:r>
              <w:rPr>
                <w:rFonts w:hint="eastAsia" w:ascii="宋体" w:eastAsia="宋体" w:cs="宋体"/>
                <w:szCs w:val="21"/>
              </w:rPr>
              <w:t>分项报价或投标总价未超过相应预算金额或最高投标限价</w:t>
            </w:r>
          </w:p>
        </w:tc>
      </w:tr>
      <w:tr w14:paraId="05E7F2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7131BCCE">
            <w:pPr>
              <w:jc w:val="center"/>
              <w:rPr>
                <w:rFonts w:hint="eastAsia" w:ascii="宋体" w:eastAsia="宋体" w:cs="宋体"/>
                <w:szCs w:val="21"/>
                <w:lang w:eastAsia="zh-CN"/>
              </w:rPr>
            </w:pPr>
            <w:r>
              <w:rPr>
                <w:rFonts w:hint="eastAsia" w:ascii="宋体" w:cs="宋体"/>
                <w:szCs w:val="21"/>
                <w:lang w:val="en-US" w:eastAsia="zh-CN"/>
              </w:rPr>
              <w:t>4</w:t>
            </w:r>
          </w:p>
        </w:tc>
        <w:tc>
          <w:tcPr>
            <w:tcW w:w="8278" w:type="dxa"/>
            <w:tcBorders>
              <w:top w:val="single" w:color="000000" w:sz="8" w:space="0"/>
              <w:left w:val="single" w:color="000000" w:sz="8" w:space="0"/>
              <w:bottom w:val="single" w:color="000000" w:sz="8" w:space="0"/>
              <w:right w:val="single" w:color="000000" w:sz="8" w:space="0"/>
            </w:tcBorders>
          </w:tcPr>
          <w:p w14:paraId="50B88313">
            <w:pPr>
              <w:rPr>
                <w:rFonts w:hint="eastAsia" w:ascii="宋体" w:eastAsia="宋体" w:cs="宋体"/>
                <w:szCs w:val="21"/>
              </w:rPr>
            </w:pPr>
            <w:r>
              <w:rPr>
                <w:rFonts w:hint="eastAsia" w:ascii="宋体" w:eastAsia="宋体" w:cs="宋体"/>
                <w:szCs w:val="21"/>
              </w:rPr>
              <w:t xml:space="preserve">投标报价满足招标文件报价要求且无缺漏项目 </w:t>
            </w:r>
          </w:p>
        </w:tc>
      </w:tr>
      <w:tr w14:paraId="268027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C981182">
            <w:pPr>
              <w:jc w:val="center"/>
              <w:rPr>
                <w:rFonts w:hint="eastAsia" w:ascii="宋体" w:eastAsia="宋体" w:cs="宋体"/>
                <w:szCs w:val="21"/>
                <w:lang w:eastAsia="zh-CN"/>
              </w:rPr>
            </w:pPr>
            <w:r>
              <w:rPr>
                <w:rFonts w:hint="eastAsia" w:ascii="宋体" w:cs="宋体"/>
                <w:szCs w:val="21"/>
                <w:lang w:val="en-US" w:eastAsia="zh-CN"/>
              </w:rPr>
              <w:t>5</w:t>
            </w:r>
          </w:p>
        </w:tc>
        <w:tc>
          <w:tcPr>
            <w:tcW w:w="8278" w:type="dxa"/>
            <w:tcBorders>
              <w:top w:val="single" w:color="000000" w:sz="8" w:space="0"/>
              <w:left w:val="single" w:color="000000" w:sz="8" w:space="0"/>
              <w:bottom w:val="single" w:color="000000" w:sz="8" w:space="0"/>
              <w:right w:val="single" w:color="000000" w:sz="8" w:space="0"/>
            </w:tcBorders>
          </w:tcPr>
          <w:p w14:paraId="791978B1">
            <w:pPr>
              <w:rPr>
                <w:rFonts w:hint="eastAsia" w:ascii="宋体" w:eastAsia="宋体" w:cs="宋体"/>
                <w:szCs w:val="21"/>
              </w:rPr>
            </w:pPr>
            <w:r>
              <w:rPr>
                <w:rFonts w:hint="eastAsia" w:ascii="宋体" w:eastAsia="宋体" w:cs="宋体"/>
                <w:szCs w:val="21"/>
              </w:rPr>
              <w:t>投标文件不存在</w:t>
            </w:r>
            <w:r>
              <w:rPr>
                <w:rFonts w:hint="eastAsia" w:ascii="宋体" w:eastAsia="宋体" w:cs="宋体"/>
              </w:rPr>
              <w:t>对招标文件规定的货物或服务或工程量清单的项目或数量进行修改，评标委员会判定投标响应不满足采购需求的情形</w:t>
            </w:r>
          </w:p>
        </w:tc>
      </w:tr>
      <w:tr w14:paraId="075DD0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797BB376">
            <w:pPr>
              <w:jc w:val="center"/>
              <w:rPr>
                <w:rFonts w:hint="eastAsia" w:ascii="宋体" w:eastAsia="宋体" w:cs="宋体"/>
                <w:szCs w:val="21"/>
                <w:lang w:eastAsia="zh-CN"/>
              </w:rPr>
            </w:pPr>
            <w:r>
              <w:rPr>
                <w:rFonts w:hint="eastAsia" w:ascii="宋体" w:cs="宋体"/>
                <w:szCs w:val="21"/>
                <w:lang w:val="en-US" w:eastAsia="zh-CN"/>
              </w:rPr>
              <w:t>6</w:t>
            </w:r>
          </w:p>
        </w:tc>
        <w:tc>
          <w:tcPr>
            <w:tcW w:w="8278" w:type="dxa"/>
            <w:tcBorders>
              <w:top w:val="single" w:color="000000" w:sz="8" w:space="0"/>
              <w:left w:val="single" w:color="000000" w:sz="8" w:space="0"/>
              <w:bottom w:val="single" w:color="000000" w:sz="8" w:space="0"/>
              <w:right w:val="single" w:color="000000" w:sz="8" w:space="0"/>
            </w:tcBorders>
          </w:tcPr>
          <w:p w14:paraId="21C307BF">
            <w:pPr>
              <w:rPr>
                <w:rFonts w:hint="eastAsia" w:ascii="宋体" w:eastAsia="宋体" w:cs="宋体"/>
                <w:szCs w:val="21"/>
              </w:rPr>
            </w:pPr>
            <w:r>
              <w:rPr>
                <w:rFonts w:hint="eastAsia" w:ascii="宋体" w:eastAsia="宋体" w:cs="宋体"/>
                <w:szCs w:val="21"/>
              </w:rPr>
              <w:t>所投产品、工程、服务在商务、技术等方面实质性满足招标文件要求（是否实质性满足招标文件要求，由评标委员会根据《实质性条款响应情况表》做出评判）</w:t>
            </w:r>
          </w:p>
        </w:tc>
      </w:tr>
      <w:tr w14:paraId="69BA92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4A6B2D9">
            <w:pPr>
              <w:jc w:val="center"/>
              <w:rPr>
                <w:rFonts w:hint="eastAsia" w:ascii="宋体" w:eastAsia="宋体" w:cs="宋体"/>
                <w:szCs w:val="21"/>
                <w:lang w:eastAsia="zh-CN"/>
              </w:rPr>
            </w:pPr>
            <w:r>
              <w:rPr>
                <w:rFonts w:hint="eastAsia" w:ascii="宋体" w:cs="宋体"/>
                <w:szCs w:val="21"/>
                <w:lang w:val="en-US" w:eastAsia="zh-CN"/>
              </w:rPr>
              <w:t>7</w:t>
            </w:r>
          </w:p>
        </w:tc>
        <w:tc>
          <w:tcPr>
            <w:tcW w:w="8278" w:type="dxa"/>
            <w:tcBorders>
              <w:top w:val="single" w:color="000000" w:sz="8" w:space="0"/>
              <w:left w:val="single" w:color="000000" w:sz="8" w:space="0"/>
              <w:bottom w:val="single" w:color="000000" w:sz="8" w:space="0"/>
              <w:right w:val="single" w:color="000000" w:sz="8" w:space="0"/>
            </w:tcBorders>
          </w:tcPr>
          <w:p w14:paraId="02485064">
            <w:pPr>
              <w:rPr>
                <w:rFonts w:hint="eastAsia" w:ascii="宋体" w:eastAsia="宋体" w:cs="宋体"/>
                <w:szCs w:val="21"/>
              </w:rPr>
            </w:pPr>
            <w:r>
              <w:rPr>
                <w:rFonts w:hint="eastAsia" w:ascii="宋体" w:eastAsia="宋体" w:cs="宋体"/>
                <w:szCs w:val="21"/>
              </w:rPr>
              <w:t>按招标文件所提供的样式填写《投标函》；按招标文件所提供的《政府采购投标及履约承诺函》进行承诺；</w:t>
            </w:r>
            <w:r>
              <w:rPr>
                <w:rFonts w:hint="eastAsia"/>
                <w:szCs w:val="21"/>
              </w:rPr>
              <w:t>并</w:t>
            </w:r>
            <w:r>
              <w:rPr>
                <w:szCs w:val="21"/>
              </w:rPr>
              <w:t>按招标文件对投标文件组成的要求提供投标文件（投标文件组成完整）</w:t>
            </w:r>
          </w:p>
        </w:tc>
      </w:tr>
      <w:tr w14:paraId="7380E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196480A">
            <w:pPr>
              <w:jc w:val="center"/>
              <w:rPr>
                <w:rFonts w:hint="eastAsia" w:ascii="宋体" w:eastAsia="宋体" w:cs="宋体"/>
                <w:szCs w:val="21"/>
                <w:lang w:eastAsia="zh-CN"/>
              </w:rPr>
            </w:pPr>
            <w:r>
              <w:rPr>
                <w:rFonts w:hint="eastAsia" w:ascii="宋体" w:cs="宋体"/>
                <w:szCs w:val="21"/>
                <w:lang w:val="en-US" w:eastAsia="zh-CN"/>
              </w:rPr>
              <w:t>8</w:t>
            </w:r>
          </w:p>
        </w:tc>
        <w:tc>
          <w:tcPr>
            <w:tcW w:w="8278" w:type="dxa"/>
            <w:tcBorders>
              <w:top w:val="single" w:color="000000" w:sz="8" w:space="0"/>
              <w:left w:val="single" w:color="000000" w:sz="8" w:space="0"/>
              <w:bottom w:val="single" w:color="000000" w:sz="8" w:space="0"/>
              <w:right w:val="single" w:color="000000" w:sz="8" w:space="0"/>
            </w:tcBorders>
          </w:tcPr>
          <w:p w14:paraId="13B842D4">
            <w:pPr>
              <w:rPr>
                <w:rFonts w:hint="eastAsia" w:ascii="宋体" w:eastAsia="宋体" w:cs="宋体"/>
                <w:szCs w:val="21"/>
              </w:rPr>
            </w:pPr>
            <w:r>
              <w:rPr>
                <w:rFonts w:hint="eastAsia" w:ascii="宋体" w:eastAsia="宋体" w:cs="宋体"/>
                <w:szCs w:val="21"/>
              </w:rPr>
              <w:t>投标文件不存在列放位置错误，导致属于信息公开内容没有被公开的情形</w:t>
            </w:r>
          </w:p>
        </w:tc>
      </w:tr>
      <w:tr w14:paraId="206990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0E1CA910">
            <w:pPr>
              <w:jc w:val="center"/>
              <w:rPr>
                <w:rFonts w:hint="eastAsia" w:ascii="宋体" w:eastAsia="宋体" w:cs="宋体"/>
                <w:szCs w:val="21"/>
                <w:lang w:eastAsia="zh-CN"/>
              </w:rPr>
            </w:pPr>
            <w:r>
              <w:rPr>
                <w:rFonts w:hint="eastAsia" w:ascii="宋体" w:cs="宋体"/>
                <w:szCs w:val="21"/>
                <w:lang w:val="en-US" w:eastAsia="zh-CN"/>
              </w:rPr>
              <w:t>9</w:t>
            </w:r>
          </w:p>
        </w:tc>
        <w:tc>
          <w:tcPr>
            <w:tcW w:w="8278" w:type="dxa"/>
            <w:tcBorders>
              <w:top w:val="single" w:color="000000" w:sz="8" w:space="0"/>
              <w:left w:val="single" w:color="000000" w:sz="8" w:space="0"/>
              <w:bottom w:val="single" w:color="000000" w:sz="8" w:space="0"/>
              <w:right w:val="single" w:color="000000" w:sz="8" w:space="0"/>
            </w:tcBorders>
          </w:tcPr>
          <w:p w14:paraId="5423A510">
            <w:pPr>
              <w:rPr>
                <w:rFonts w:hint="eastAsia" w:ascii="宋体" w:eastAsia="宋体" w:cs="宋体"/>
                <w:szCs w:val="21"/>
              </w:rPr>
            </w:pPr>
            <w:r>
              <w:rPr>
                <w:rFonts w:hint="eastAsia" w:ascii="宋体" w:eastAsia="宋体" w:cs="宋体"/>
                <w:szCs w:val="21"/>
              </w:rPr>
              <w:t>投标文件不存在电子文档带病毒或使用其他投标人的电子密钥</w:t>
            </w:r>
            <w:r>
              <w:rPr>
                <w:rFonts w:hint="eastAsia" w:ascii="宋体" w:eastAsia="宋体" w:cs="宋体"/>
              </w:rPr>
              <w:t>或电子营业执照</w:t>
            </w:r>
            <w:r>
              <w:rPr>
                <w:rFonts w:hint="eastAsia" w:ascii="宋体" w:eastAsia="宋体" w:cs="宋体"/>
                <w:szCs w:val="21"/>
              </w:rPr>
              <w:t>进行加密的情形</w:t>
            </w:r>
          </w:p>
        </w:tc>
      </w:tr>
      <w:tr w14:paraId="466EDD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0D5FA92C">
            <w:pPr>
              <w:jc w:val="center"/>
              <w:rPr>
                <w:rFonts w:ascii="宋体" w:eastAsia="宋体" w:cs="宋体"/>
                <w:szCs w:val="21"/>
                <w:lang w:val="en-US" w:eastAsia="zh-CN"/>
              </w:rPr>
            </w:pPr>
            <w:r>
              <w:rPr>
                <w:rFonts w:hint="eastAsia" w:ascii="宋体" w:cs="宋体"/>
                <w:szCs w:val="21"/>
                <w:lang w:val="en-US" w:eastAsia="zh-CN"/>
              </w:rPr>
              <w:t>10</w:t>
            </w:r>
          </w:p>
        </w:tc>
        <w:tc>
          <w:tcPr>
            <w:tcW w:w="8278" w:type="dxa"/>
            <w:tcBorders>
              <w:top w:val="single" w:color="000000" w:sz="8" w:space="0"/>
              <w:left w:val="single" w:color="000000" w:sz="8" w:space="0"/>
              <w:bottom w:val="single" w:color="000000" w:sz="8" w:space="0"/>
              <w:right w:val="single" w:color="000000" w:sz="8" w:space="0"/>
            </w:tcBorders>
          </w:tcPr>
          <w:p w14:paraId="5149992D">
            <w:pPr>
              <w:rPr>
                <w:rFonts w:hint="eastAsia" w:ascii="宋体" w:eastAsia="宋体" w:cs="宋体"/>
                <w:szCs w:val="21"/>
              </w:rPr>
            </w:pPr>
            <w:r>
              <w:rPr>
                <w:rFonts w:hint="eastAsia" w:ascii="宋体" w:eastAsia="宋体" w:cs="宋体"/>
              </w:rPr>
              <w:t>不同投标人的投标文件不存在“文件制作机器码”一致或</w:t>
            </w:r>
            <w:r>
              <w:rPr>
                <w:rFonts w:hint="eastAsia" w:ascii="宋体" w:eastAsia="宋体" w:cs="宋体"/>
                <w:szCs w:val="24"/>
              </w:rPr>
              <w:t>“文件创建标识码”一致的情形</w:t>
            </w:r>
          </w:p>
        </w:tc>
      </w:tr>
      <w:tr w14:paraId="1BDFE8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25E880A">
            <w:pPr>
              <w:jc w:val="center"/>
              <w:rPr>
                <w:rFonts w:ascii="宋体" w:eastAsia="宋体" w:cs="宋体"/>
                <w:szCs w:val="21"/>
                <w:lang w:val="en-US" w:eastAsia="zh-CN"/>
              </w:rPr>
            </w:pPr>
            <w:r>
              <w:rPr>
                <w:rFonts w:hint="eastAsia" w:ascii="宋体" w:cs="宋体"/>
                <w:szCs w:val="21"/>
                <w:lang w:val="en-US" w:eastAsia="zh-CN"/>
              </w:rPr>
              <w:t>11</w:t>
            </w:r>
          </w:p>
        </w:tc>
        <w:tc>
          <w:tcPr>
            <w:tcW w:w="8278" w:type="dxa"/>
            <w:tcBorders>
              <w:top w:val="single" w:color="000000" w:sz="8" w:space="0"/>
              <w:left w:val="single" w:color="000000" w:sz="8" w:space="0"/>
              <w:bottom w:val="single" w:color="000000" w:sz="8" w:space="0"/>
              <w:right w:val="single" w:color="000000" w:sz="8" w:space="0"/>
            </w:tcBorders>
          </w:tcPr>
          <w:p w14:paraId="5618B547">
            <w:pPr>
              <w:rPr>
                <w:rFonts w:hint="eastAsia" w:ascii="宋体" w:eastAsia="宋体" w:cs="宋体"/>
                <w:szCs w:val="21"/>
              </w:rPr>
            </w:pPr>
            <w:r>
              <w:rPr>
                <w:rFonts w:hint="eastAsia" w:ascii="宋体" w:eastAsia="宋体" w:cs="宋体"/>
                <w:szCs w:val="24"/>
              </w:rPr>
              <w:t>法律、法规、规章、规范性文件规定的其他情形</w:t>
            </w:r>
          </w:p>
        </w:tc>
      </w:tr>
    </w:tbl>
    <w:p w14:paraId="0625623F">
      <w:pPr>
        <w:pStyle w:val="37"/>
        <w:spacing w:before="280" w:beforeAutospacing="0"/>
        <w:jc w:val="center"/>
        <w:outlineLvl w:val="1"/>
        <w:rPr>
          <w:rFonts w:ascii="黑体" w:eastAsia="黑体"/>
          <w:sz w:val="40"/>
          <w:szCs w:val="40"/>
        </w:rPr>
      </w:pPr>
      <w:r>
        <w:rPr>
          <w:rFonts w:hint="eastAsia" w:ascii="黑体" w:eastAsia="黑体"/>
          <w:sz w:val="40"/>
          <w:szCs w:val="40"/>
        </w:rPr>
        <w:t>异常低价审查</w:t>
      </w:r>
    </w:p>
    <w:p w14:paraId="1689A0E9">
      <w:pPr>
        <w:adjustRightInd w:val="0"/>
        <w:spacing w:line="360" w:lineRule="auto"/>
        <w:ind w:firstLine="422" w:firstLineChars="201"/>
        <w:rPr>
          <w:rFonts w:hint="eastAsia" w:ascii="宋体"/>
          <w:snapToGrid w:val="0"/>
          <w:kern w:val="0"/>
          <w:lang w:eastAsia="zh-CN"/>
        </w:rPr>
      </w:pPr>
      <w:r>
        <w:rPr>
          <w:rFonts w:hint="eastAsia" w:ascii="宋体"/>
          <w:snapToGrid w:val="0"/>
          <w:kern w:val="0"/>
          <w:lang w:eastAsia="zh-CN"/>
        </w:rPr>
        <w:t>评审中出现下列情形之一的，评审委员会应当启动异常低价投标（响应）审查程序：</w:t>
      </w:r>
    </w:p>
    <w:p w14:paraId="7BBE583C">
      <w:pPr>
        <w:adjustRightInd w:val="0"/>
        <w:spacing w:line="360" w:lineRule="auto"/>
        <w:ind w:firstLine="422" w:firstLineChars="201"/>
        <w:rPr>
          <w:rFonts w:hint="eastAsia" w:ascii="宋体"/>
          <w:snapToGrid w:val="0"/>
          <w:kern w:val="0"/>
          <w:lang w:eastAsia="zh-CN"/>
        </w:rPr>
      </w:pPr>
      <w:r>
        <w:rPr>
          <w:rFonts w:hint="eastAsia" w:ascii="宋体"/>
          <w:snapToGrid w:val="0"/>
          <w:kern w:val="0"/>
          <w:lang w:eastAsia="zh-CN"/>
        </w:rPr>
        <w:t>1.投标（响应）报价低于全部通过符合性审查供应商投标（响应）报价平均值50%的，即投标（响应）报价&lt;全部通过符合性审查供应商投标（响应）报价平均值×50%；</w:t>
      </w:r>
    </w:p>
    <w:p w14:paraId="5F2B7002">
      <w:pPr>
        <w:adjustRightInd w:val="0"/>
        <w:spacing w:line="360" w:lineRule="auto"/>
        <w:ind w:firstLine="422" w:firstLineChars="201"/>
        <w:rPr>
          <w:rFonts w:hint="eastAsia" w:ascii="宋体"/>
          <w:snapToGrid w:val="0"/>
          <w:kern w:val="0"/>
          <w:lang w:eastAsia="zh-CN"/>
        </w:rPr>
      </w:pPr>
      <w:r>
        <w:rPr>
          <w:rFonts w:hint="eastAsia" w:ascii="宋体"/>
          <w:snapToGrid w:val="0"/>
          <w:kern w:val="0"/>
          <w:lang w:eastAsia="zh-CN"/>
        </w:rPr>
        <w:t>2.投标（响应）报价低于通过符合性审查的次低报价供应商投标（响应）报价50%的，即投标（响应）报价&lt;通过符合性审查的次低报价供应商投标（响应）报价×50%；</w:t>
      </w:r>
    </w:p>
    <w:p w14:paraId="767626E7">
      <w:pPr>
        <w:adjustRightInd w:val="0"/>
        <w:spacing w:line="360" w:lineRule="auto"/>
        <w:ind w:firstLine="422" w:firstLineChars="201"/>
        <w:rPr>
          <w:rFonts w:hint="eastAsia" w:ascii="宋体"/>
          <w:snapToGrid w:val="0"/>
          <w:kern w:val="0"/>
          <w:lang w:eastAsia="zh-CN"/>
        </w:rPr>
      </w:pPr>
      <w:r>
        <w:rPr>
          <w:rFonts w:hint="eastAsia" w:ascii="宋体"/>
          <w:snapToGrid w:val="0"/>
          <w:kern w:val="0"/>
          <w:lang w:eastAsia="zh-CN"/>
        </w:rPr>
        <w:t>3.投标（响应）报价低于采购项目最高限价45%的，即投标（响应）报价&lt;采购项目最高限价×45%；</w:t>
      </w:r>
    </w:p>
    <w:p w14:paraId="3944CA26">
      <w:pPr>
        <w:adjustRightInd w:val="0"/>
        <w:spacing w:line="360" w:lineRule="auto"/>
        <w:ind w:firstLine="422" w:firstLineChars="201"/>
        <w:rPr>
          <w:rFonts w:hint="eastAsia" w:ascii="宋体"/>
          <w:snapToGrid w:val="0"/>
          <w:kern w:val="0"/>
          <w:lang w:eastAsia="zh-CN"/>
        </w:rPr>
      </w:pPr>
      <w:r>
        <w:rPr>
          <w:rFonts w:hint="eastAsia" w:ascii="宋体"/>
          <w:snapToGrid w:val="0"/>
          <w:kern w:val="0"/>
          <w:lang w:eastAsia="zh-CN"/>
        </w:rPr>
        <w:t>4.评审委员会基于专业判断，认为供应商报价过低，有可能影响产品质量或者不能诚信履约的其他情形。</w:t>
      </w:r>
    </w:p>
    <w:p w14:paraId="63DD85CC">
      <w:pPr>
        <w:adjustRightInd w:val="0"/>
        <w:spacing w:line="360" w:lineRule="auto"/>
        <w:ind w:firstLine="422" w:firstLineChars="201"/>
        <w:rPr>
          <w:rFonts w:hint="eastAsia" w:ascii="宋体" w:eastAsia="宋体"/>
          <w:snapToGrid w:val="0"/>
          <w:kern w:val="0"/>
          <w:lang w:eastAsia="zh-CN"/>
        </w:rPr>
      </w:pPr>
      <w:r>
        <w:rPr>
          <w:rFonts w:hint="eastAsia" w:asci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7775EABF">
      <w:pPr>
        <w:adjustRightInd w:val="0"/>
        <w:spacing w:line="360" w:lineRule="auto"/>
        <w:ind w:firstLine="424" w:firstLineChars="201"/>
        <w:rPr>
          <w:rFonts w:hint="eastAsia" w:ascii="宋体"/>
          <w:b/>
          <w:bCs/>
          <w:snapToGrid w:val="0"/>
          <w:kern w:val="0"/>
          <w:lang w:val="en-US" w:eastAsia="zh-CN"/>
        </w:rPr>
      </w:pPr>
      <w:r>
        <w:rPr>
          <w:rFonts w:hint="eastAsia" w:asci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2518E79E">
      <w:pPr>
        <w:adjustRightInd w:val="0"/>
        <w:spacing w:line="360" w:lineRule="auto"/>
        <w:ind w:firstLine="422" w:firstLineChars="201"/>
        <w:rPr>
          <w:rFonts w:hint="eastAsia" w:ascii="宋体"/>
          <w:snapToGrid w:val="0"/>
          <w:kern w:val="0"/>
          <w:lang w:val="en-US" w:eastAsia="zh-CN"/>
        </w:rPr>
      </w:pPr>
      <w:r>
        <w:rPr>
          <w:rFonts w:hint="eastAsia" w:asci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60389DD3">
      <w:pPr>
        <w:spacing w:line="324" w:lineRule="auto"/>
        <w:ind w:firstLine="420"/>
        <w:rPr>
          <w:rFonts w:hint="eastAsia" w:ascii="Times New Roman" w:hAnsi="Times New Roman"/>
          <w:b/>
          <w:color w:val="FF0000"/>
          <w:szCs w:val="21"/>
        </w:rPr>
      </w:pPr>
      <w:r>
        <w:rPr>
          <w:rFonts w:hint="eastAsia" w:asci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008F10C5">
      <w:pPr>
        <w:spacing w:line="324" w:lineRule="auto"/>
        <w:ind w:firstLine="420"/>
        <w:rPr>
          <w:rFonts w:hint="eastAsia" w:ascii="Times New Roman" w:hAnsi="Times New Roman"/>
          <w:b/>
          <w:color w:val="FF0000"/>
          <w:szCs w:val="21"/>
        </w:rPr>
      </w:pPr>
    </w:p>
    <w:p w14:paraId="5140D835">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188E97A7">
      <w:pPr>
        <w:spacing w:line="324" w:lineRule="auto"/>
        <w:ind w:firstLine="420"/>
        <w:rPr>
          <w:rFonts w:ascii="宋体" w:eastAsia="宋体"/>
          <w:b/>
          <w:color w:val="FF0000"/>
          <w:szCs w:val="21"/>
        </w:rPr>
      </w:pPr>
      <w:r>
        <w:rPr>
          <w:rFonts w:hint="eastAsia" w:ascii="宋体" w:eastAsia="宋体"/>
          <w:b/>
          <w:color w:val="FF0000"/>
          <w:szCs w:val="21"/>
          <w:lang w:val="en-US" w:eastAsia="zh-CN"/>
        </w:rPr>
        <w:t>1</w:t>
      </w:r>
      <w:r>
        <w:rPr>
          <w:rFonts w:hint="eastAsia" w:ascii="宋体" w:eastAsia="宋体"/>
          <w:b/>
          <w:color w:val="FF0000"/>
          <w:szCs w:val="21"/>
        </w:rPr>
        <w:t>、投标</w:t>
      </w:r>
      <w:r>
        <w:rPr>
          <w:rFonts w:hint="eastAsia" w:ascii="宋体" w:eastAsia="宋体"/>
          <w:b/>
          <w:color w:val="FF0000"/>
          <w:szCs w:val="21"/>
          <w:lang w:eastAsia="zh-CN"/>
        </w:rPr>
        <w:t>（响应）供应商</w:t>
      </w:r>
      <w:r>
        <w:rPr>
          <w:rFonts w:hint="eastAsia" w:ascii="宋体" w:eastAsia="宋体"/>
          <w:b/>
          <w:color w:val="FF0000"/>
          <w:szCs w:val="21"/>
        </w:rPr>
        <w:t>不符合《资格性审查表》或《符合性审查表》中任一情形的，</w:t>
      </w:r>
      <w:r>
        <w:rPr>
          <w:rFonts w:hint="eastAsia" w:ascii="宋体" w:eastAsia="宋体"/>
          <w:b/>
          <w:color w:val="FF0000"/>
          <w:szCs w:val="21"/>
          <w:lang w:val="en-US" w:eastAsia="zh-CN"/>
        </w:rPr>
        <w:t>按投标</w:t>
      </w:r>
      <w:r>
        <w:rPr>
          <w:rFonts w:hint="eastAsia" w:ascii="宋体" w:eastAsia="宋体"/>
          <w:b/>
          <w:color w:val="FF0000"/>
          <w:szCs w:val="21"/>
          <w:lang w:eastAsia="zh-CN"/>
        </w:rPr>
        <w:t>（响应）</w:t>
      </w:r>
      <w:r>
        <w:rPr>
          <w:rFonts w:hint="eastAsia" w:ascii="宋体" w:eastAsia="宋体"/>
          <w:b/>
          <w:color w:val="FF0000"/>
          <w:szCs w:val="21"/>
          <w:lang w:val="en-US" w:eastAsia="zh-CN"/>
        </w:rPr>
        <w:t>无效处理</w:t>
      </w:r>
      <w:r>
        <w:rPr>
          <w:rFonts w:hint="eastAsia" w:ascii="宋体" w:eastAsia="宋体"/>
          <w:b/>
          <w:color w:val="FF0000"/>
          <w:szCs w:val="21"/>
        </w:rPr>
        <w:t>。</w:t>
      </w:r>
    </w:p>
    <w:p w14:paraId="7024BC20">
      <w:pPr>
        <w:spacing w:line="324" w:lineRule="auto"/>
        <w:ind w:firstLine="420"/>
        <w:rPr>
          <w:rFonts w:hint="eastAsia" w:ascii="宋体" w:eastAsia="宋体"/>
          <w:b/>
          <w:color w:val="FF0000"/>
          <w:szCs w:val="21"/>
          <w:lang w:val="en-US" w:eastAsia="zh-CN"/>
        </w:rPr>
      </w:pPr>
      <w:r>
        <w:rPr>
          <w:rFonts w:hint="eastAsia" w:ascii="宋体" w:eastAsia="宋体"/>
          <w:b/>
          <w:color w:val="FF0000"/>
          <w:szCs w:val="21"/>
          <w:lang w:val="en-US" w:eastAsia="zh-CN"/>
        </w:rPr>
        <w:t>2、投标</w:t>
      </w:r>
      <w:r>
        <w:rPr>
          <w:rFonts w:hint="eastAsia" w:ascii="宋体" w:eastAsia="宋体"/>
          <w:b/>
          <w:color w:val="FF0000"/>
          <w:szCs w:val="21"/>
          <w:lang w:eastAsia="zh-CN"/>
        </w:rPr>
        <w:t>（响应）供应商</w:t>
      </w:r>
      <w:r>
        <w:rPr>
          <w:rFonts w:hint="eastAsia" w:ascii="宋体" w:eastAsia="宋体"/>
          <w:b/>
          <w:color w:val="FF0000"/>
          <w:szCs w:val="21"/>
          <w:lang w:val="en-US" w:eastAsia="zh-CN"/>
        </w:rPr>
        <w:t>属于异常低价情形且未通过异常低价审查的，按投标</w:t>
      </w:r>
      <w:r>
        <w:rPr>
          <w:rFonts w:hint="eastAsia" w:ascii="宋体" w:eastAsia="宋体"/>
          <w:b/>
          <w:color w:val="FF0000"/>
          <w:szCs w:val="21"/>
          <w:lang w:eastAsia="zh-CN"/>
        </w:rPr>
        <w:t>（响应）</w:t>
      </w:r>
      <w:r>
        <w:rPr>
          <w:rFonts w:hint="eastAsia" w:ascii="宋体" w:eastAsia="宋体"/>
          <w:b/>
          <w:color w:val="FF0000"/>
          <w:szCs w:val="21"/>
          <w:lang w:val="en-US" w:eastAsia="zh-CN"/>
        </w:rPr>
        <w:t>无效处理。</w:t>
      </w:r>
    </w:p>
    <w:p w14:paraId="50DAFC52">
      <w:pPr>
        <w:pStyle w:val="37"/>
        <w:spacing w:line="324" w:lineRule="auto"/>
        <w:ind w:firstLine="420"/>
        <w:rPr>
          <w:b/>
          <w:sz w:val="21"/>
          <w:szCs w:val="21"/>
        </w:rPr>
      </w:pPr>
    </w:p>
    <w:p w14:paraId="2FEA1EC0">
      <w:pPr>
        <w:pStyle w:val="37"/>
        <w:spacing w:before="156" w:beforeLines="50" w:after="156" w:afterLines="50"/>
        <w:jc w:val="center"/>
        <w:outlineLvl w:val="1"/>
        <w:rPr>
          <w:rFonts w:ascii="黑体" w:eastAsia="黑体"/>
          <w:sz w:val="40"/>
          <w:szCs w:val="40"/>
        </w:rPr>
      </w:pPr>
      <w:r>
        <w:rPr>
          <w:rFonts w:hint="eastAsia" w:ascii="黑体" w:eastAsia="黑体"/>
          <w:sz w:val="40"/>
          <w:szCs w:val="40"/>
        </w:rPr>
        <w:t>评标信息</w:t>
      </w:r>
    </w:p>
    <w:tbl>
      <w:tblPr>
        <w:tblStyle w:val="42"/>
        <w:tblW w:w="9072" w:type="dxa"/>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45" w:type="dxa"/>
          <w:left w:w="45" w:type="dxa"/>
          <w:bottom w:w="45" w:type="dxa"/>
          <w:right w:w="45" w:type="dxa"/>
        </w:tblCellMar>
      </w:tblPr>
      <w:tblGrid>
        <w:gridCol w:w="8824"/>
        <w:gridCol w:w="248"/>
      </w:tblGrid>
      <w:tr w14:paraId="4B15F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blCellSpacing w:w="0" w:type="dxa"/>
          <w:jc w:val="center"/>
        </w:trPr>
        <w:tc>
          <w:tcPr>
            <w:tcBorders>
              <w:top w:val="nil"/>
              <w:left w:val="nil"/>
              <w:bottom w:val="nil"/>
              <w:right w:val="nil"/>
            </w:tcBorders>
            <w:vAlign w:val="center"/>
          </w:tcPr>
          <w:p w14:paraId="463FF50A">
            <w:pPr>
              <w:rPr>
                <w:bCs/>
              </w:rPr>
            </w:pPr>
            <w:r>
              <w:rPr>
                <w:bCs/>
              </w:rPr>
              <w:t>评标方法：综合评分法（</w:t>
            </w:r>
            <w:r>
              <w:rPr>
                <w:rFonts w:hint="eastAsia"/>
                <w:bCs/>
              </w:rPr>
              <w:t>新价格分算法</w:t>
            </w:r>
            <w:r>
              <w:rPr>
                <w:bCs/>
              </w:rPr>
              <w:t>）</w:t>
            </w:r>
          </w:p>
        </w:tc>
        <w:tc>
          <w:tcPr>
            <w:tcBorders>
              <w:top w:val="nil"/>
              <w:left w:val="nil"/>
              <w:bottom w:val="nil"/>
              <w:right w:val="nil"/>
            </w:tcBorders>
            <w:vAlign w:val="center"/>
          </w:tcPr>
          <w:p w14:paraId="5AE2363E">
            <w:pPr>
              <w:rPr>
                <w:b/>
                <w:bCs/>
              </w:rPr>
            </w:pPr>
          </w:p>
        </w:tc>
      </w:tr>
      <w:tr w14:paraId="03153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blCellSpacing w:w="0" w:type="dxa"/>
          <w:jc w:val="center"/>
        </w:trPr>
        <w:tc>
          <w:tcPr>
            <w:gridSpan w:val="2"/>
            <w:tcBorders>
              <w:top w:val="nil"/>
              <w:left w:val="nil"/>
              <w:bottom w:val="nil"/>
              <w:right w:val="nil"/>
            </w:tcBorders>
            <w:vAlign w:val="center"/>
          </w:tcPr>
          <w:p w14:paraId="06E3F58E">
            <w:pPr>
              <w:pStyle w:val="37"/>
              <w:spacing w:line="324" w:lineRule="auto"/>
              <w:ind w:firstLine="420"/>
              <w:rPr>
                <w:sz w:val="21"/>
                <w:szCs w:val="21"/>
              </w:rPr>
            </w:pPr>
            <w:r>
              <w:rPr>
                <w:sz w:val="21"/>
                <w:szCs w:val="21"/>
              </w:rPr>
              <w:t>综合评分法，是指</w:t>
            </w:r>
            <w:r>
              <w:rPr>
                <w:rFonts w:hint="eastAsia"/>
                <w:sz w:val="21"/>
                <w:szCs w:val="21"/>
              </w:rPr>
              <w:t>在最大限度地满足招标文件实质性要求的前提下，按照招标文件中规定的各项因素进行综合评审，评标总得分排名前列的投标人，作为推荐的候选中标供应商</w:t>
            </w:r>
            <w:r>
              <w:rPr>
                <w:sz w:val="21"/>
                <w:szCs w:val="21"/>
              </w:rPr>
              <w:t xml:space="preserve">。 </w:t>
            </w:r>
          </w:p>
          <w:p w14:paraId="11F78913">
            <w:pPr>
              <w:pStyle w:val="37"/>
              <w:ind w:firstLine="420"/>
              <w:rPr>
                <w:sz w:val="21"/>
                <w:szCs w:val="21"/>
              </w:rPr>
            </w:pPr>
            <w:r>
              <w:rPr>
                <w:sz w:val="21"/>
                <w:szCs w:val="21"/>
              </w:rPr>
              <w:t>价格分计算方法：</w:t>
            </w:r>
          </w:p>
          <w:p w14:paraId="579A1EF4">
            <w:pPr>
              <w:pStyle w:val="37"/>
              <w:spacing w:line="324" w:lineRule="auto"/>
              <w:ind w:left="420"/>
              <w:rPr>
                <w:sz w:val="21"/>
                <w:szCs w:val="21"/>
              </w:rPr>
            </w:pPr>
            <w:r>
              <w:rPr>
                <w:sz w:val="21"/>
                <w:szCs w:val="21"/>
              </w:rPr>
              <w:t xml:space="preserve">采用低价优先法计算，即满足招标文件要求且投标价格最低的投标报价为评标基准价，其价格分为满分。其他投标人的价格分统一按照下列公式计算： </w:t>
            </w:r>
            <w:r>
              <w:rPr>
                <w:sz w:val="21"/>
                <w:szCs w:val="21"/>
              </w:rPr>
              <w:br w:type="textWrapping"/>
            </w:r>
            <w:r>
              <w:rPr>
                <w:sz w:val="21"/>
                <w:szCs w:val="21"/>
              </w:rPr>
              <w:t xml:space="preserve">投标报价得分=(评标基准价／投标报价)×100 </w:t>
            </w:r>
            <w:r>
              <w:rPr>
                <w:sz w:val="21"/>
                <w:szCs w:val="21"/>
              </w:rPr>
              <w:br w:type="textWrapping"/>
            </w:r>
            <w:r>
              <w:rPr>
                <w:sz w:val="21"/>
                <w:szCs w:val="21"/>
              </w:rPr>
              <w:t xml:space="preserve">评标总得分＝F1×A1＋F2×A2＋……＋Fn×An </w:t>
            </w:r>
            <w:r>
              <w:rPr>
                <w:sz w:val="21"/>
                <w:szCs w:val="21"/>
              </w:rPr>
              <w:br w:type="textWrapping"/>
            </w:r>
            <w:r>
              <w:rPr>
                <w:sz w:val="21"/>
                <w:szCs w:val="21"/>
              </w:rPr>
              <w:t xml:space="preserve">F1、F2……Fn分别为各项评审因素的得分； </w:t>
            </w:r>
            <w:r>
              <w:rPr>
                <w:sz w:val="21"/>
                <w:szCs w:val="21"/>
              </w:rPr>
              <w:br w:type="textWrapping"/>
            </w:r>
            <w:r>
              <w:rPr>
                <w:sz w:val="21"/>
                <w:szCs w:val="21"/>
              </w:rPr>
              <w:t xml:space="preserve">A1、A2、……An 分别为各项评审因素所占的权重(A1＋A2＋……＋An＝1)。 </w:t>
            </w:r>
            <w:r>
              <w:rPr>
                <w:sz w:val="21"/>
                <w:szCs w:val="21"/>
              </w:rPr>
              <w:br w:type="textWrapping"/>
            </w:r>
            <w:r>
              <w:rPr>
                <w:sz w:val="21"/>
                <w:szCs w:val="21"/>
              </w:rPr>
              <w:t xml:space="preserve">评标过程中，不得去掉报价中的最高报价和最低报价。 </w:t>
            </w:r>
            <w:r>
              <w:rPr>
                <w:sz w:val="21"/>
                <w:szCs w:val="21"/>
              </w:rPr>
              <w:br w:type="textWrapping"/>
            </w:r>
            <w:r>
              <w:rPr>
                <w:rFonts w:hint="eastAsia"/>
                <w:sz w:val="21"/>
                <w:szCs w:val="21"/>
              </w:rPr>
              <w:t>因落实政府采购政策进行价格调整的，以调整后的价格计算评标基准价和投标报价</w:t>
            </w:r>
            <w:r>
              <w:rPr>
                <w:sz w:val="21"/>
                <w:szCs w:val="21"/>
              </w:rPr>
              <w:t xml:space="preserve">。 </w:t>
            </w:r>
          </w:p>
        </w:tc>
      </w:tr>
    </w:tbl>
    <w:p w14:paraId="7D6F98AA">
      <w:pPr>
        <w:spacing w:after="1134"/>
        <w:rPr>
          <w:vanish/>
        </w:rPr>
      </w:pPr>
    </w:p>
    <w:tbl>
      <w:tblPr>
        <w:tblStyle w:val="42"/>
        <w:tblW w:w="949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680"/>
        <w:gridCol w:w="680"/>
        <w:gridCol w:w="2116"/>
        <w:gridCol w:w="637"/>
        <w:gridCol w:w="5386"/>
      </w:tblGrid>
      <w:tr w14:paraId="2B2E6E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06A10C67">
            <w:pPr>
              <w:spacing w:line="360" w:lineRule="exact"/>
              <w:jc w:val="center"/>
              <w:rPr>
                <w:rFonts w:ascii="宋体" w:eastAsia="宋体"/>
                <w:b/>
                <w:bCs/>
                <w:sz w:val="24"/>
              </w:rPr>
            </w:pPr>
            <w:r>
              <w:rPr>
                <w:rFonts w:ascii="宋体" w:eastAsia="宋体"/>
                <w:b/>
                <w:bCs/>
              </w:rPr>
              <w:t>序号</w:t>
            </w:r>
          </w:p>
        </w:tc>
        <w:tc>
          <w:tcPr>
            <w:tcW w:w="3433"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14:paraId="71CB0BCF">
            <w:pPr>
              <w:spacing w:line="360" w:lineRule="exact"/>
              <w:jc w:val="center"/>
              <w:rPr>
                <w:rFonts w:ascii="宋体" w:eastAsia="宋体"/>
                <w:b/>
                <w:bCs/>
              </w:rPr>
            </w:pPr>
            <w:r>
              <w:rPr>
                <w:rFonts w:ascii="宋体" w:eastAsia="宋体"/>
                <w:b/>
                <w:bCs/>
              </w:rPr>
              <w:t>评分项</w:t>
            </w:r>
          </w:p>
        </w:tc>
        <w:tc>
          <w:tcPr>
            <w:tcW w:w="5386"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70B90B5F">
            <w:pPr>
              <w:spacing w:line="360" w:lineRule="exact"/>
              <w:jc w:val="center"/>
              <w:rPr>
                <w:rFonts w:ascii="宋体" w:eastAsia="宋体"/>
                <w:b/>
                <w:bCs/>
              </w:rPr>
            </w:pPr>
            <w:r>
              <w:rPr>
                <w:rFonts w:ascii="宋体" w:eastAsia="宋体"/>
                <w:b/>
                <w:bCs/>
              </w:rPr>
              <w:t>权重(%)</w:t>
            </w:r>
          </w:p>
        </w:tc>
      </w:tr>
      <w:tr w14:paraId="2BC16F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90" w:hRule="atLeast"/>
          <w:jc w:val="center"/>
        </w:trPr>
        <w:tc>
          <w:tcPr>
            <w:tcW w:w="680" w:type="dxa"/>
            <w:tcBorders>
              <w:top w:val="single" w:color="000000" w:sz="8" w:space="0"/>
              <w:left w:val="single" w:color="000000" w:sz="8" w:space="0"/>
              <w:bottom w:val="single" w:color="000000" w:sz="8" w:space="0"/>
              <w:right w:val="single" w:color="000000" w:sz="8" w:space="0"/>
            </w:tcBorders>
          </w:tcPr>
          <w:p w14:paraId="1D68C2C7">
            <w:pPr>
              <w:spacing w:line="360" w:lineRule="exact"/>
              <w:jc w:val="center"/>
              <w:rPr>
                <w:rFonts w:ascii="宋体" w:eastAsia="宋体" w:cs="宋体"/>
                <w:b/>
                <w:bCs/>
                <w:color w:val="0000FF"/>
                <w:sz w:val="24"/>
              </w:rPr>
            </w:pPr>
            <w:r>
              <w:rPr>
                <w:rFonts w:ascii="宋体" w:eastAsia="宋体"/>
                <w:b/>
                <w:bCs/>
                <w:color w:val="0000FF"/>
              </w:rPr>
              <w:t>1</w:t>
            </w:r>
          </w:p>
        </w:tc>
        <w:tc>
          <w:tcPr>
            <w:tcW w:w="3433" w:type="dxa"/>
            <w:gridSpan w:val="3"/>
            <w:tcBorders>
              <w:top w:val="single" w:color="000000" w:sz="8" w:space="0"/>
              <w:left w:val="single" w:color="000000" w:sz="8" w:space="0"/>
              <w:bottom w:val="single" w:color="000000" w:sz="8" w:space="0"/>
              <w:right w:val="single" w:color="000000" w:sz="8" w:space="0"/>
            </w:tcBorders>
          </w:tcPr>
          <w:p w14:paraId="4BB55833">
            <w:pPr>
              <w:spacing w:line="360" w:lineRule="exact"/>
              <w:jc w:val="center"/>
              <w:rPr>
                <w:rFonts w:ascii="宋体" w:eastAsia="宋体" w:cs="宋体"/>
                <w:b/>
                <w:bCs/>
                <w:color w:val="0000FF"/>
                <w:sz w:val="24"/>
              </w:rPr>
            </w:pPr>
            <w:r>
              <w:rPr>
                <w:rFonts w:ascii="宋体" w:eastAsia="宋体"/>
                <w:b/>
                <w:bCs/>
                <w:color w:val="0000FF"/>
              </w:rPr>
              <w:t>价格</w:t>
            </w:r>
          </w:p>
        </w:tc>
        <w:tc>
          <w:tcPr>
            <w:tcW w:w="5386" w:type="dxa"/>
            <w:tcBorders>
              <w:top w:val="single" w:color="000000" w:sz="8" w:space="0"/>
              <w:left w:val="single" w:color="000000" w:sz="8" w:space="0"/>
              <w:bottom w:val="single" w:color="000000" w:sz="8" w:space="0"/>
              <w:right w:val="single" w:color="000000" w:sz="8" w:space="0"/>
            </w:tcBorders>
          </w:tcPr>
          <w:p w14:paraId="11A712C4">
            <w:pPr>
              <w:spacing w:line="360" w:lineRule="exact"/>
              <w:jc w:val="center"/>
              <w:rPr>
                <w:rFonts w:ascii="宋体" w:eastAsia="宋体" w:cs="宋体"/>
                <w:b/>
                <w:bCs/>
                <w:color w:val="0000FF"/>
                <w:sz w:val="24"/>
              </w:rPr>
            </w:pPr>
            <w:r>
              <w:rPr>
                <w:rFonts w:hint="eastAsia" w:ascii="宋体" w:eastAsia="宋体"/>
                <w:b/>
                <w:bCs/>
                <w:color w:val="0000FF"/>
              </w:rPr>
              <w:t>30</w:t>
            </w:r>
          </w:p>
        </w:tc>
      </w:tr>
      <w:tr w14:paraId="492E7A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38C566AA">
            <w:pPr>
              <w:spacing w:line="360" w:lineRule="exact"/>
              <w:jc w:val="center"/>
              <w:rPr>
                <w:rFonts w:ascii="宋体" w:eastAsia="宋体" w:cs="宋体"/>
                <w:b/>
                <w:bCs/>
                <w:color w:val="0000FF"/>
                <w:sz w:val="24"/>
              </w:rPr>
            </w:pPr>
            <w:r>
              <w:rPr>
                <w:rFonts w:ascii="宋体" w:eastAsia="宋体"/>
                <w:b/>
                <w:bCs/>
                <w:color w:val="0000FF"/>
              </w:rPr>
              <w:t>2</w:t>
            </w:r>
          </w:p>
        </w:tc>
        <w:tc>
          <w:tcPr>
            <w:tcW w:w="3433" w:type="dxa"/>
            <w:gridSpan w:val="3"/>
            <w:tcBorders>
              <w:top w:val="single" w:color="000000" w:sz="8" w:space="0"/>
              <w:left w:val="single" w:color="000000" w:sz="8" w:space="0"/>
              <w:bottom w:val="single" w:color="000000" w:sz="8" w:space="0"/>
              <w:right w:val="single" w:color="000000" w:sz="8" w:space="0"/>
            </w:tcBorders>
          </w:tcPr>
          <w:p w14:paraId="0A908B20">
            <w:pPr>
              <w:spacing w:line="360" w:lineRule="exact"/>
              <w:jc w:val="center"/>
              <w:rPr>
                <w:rFonts w:ascii="宋体" w:eastAsia="宋体"/>
                <w:b/>
                <w:bCs/>
                <w:color w:val="0000FF"/>
              </w:rPr>
            </w:pPr>
            <w:r>
              <w:rPr>
                <w:rFonts w:ascii="宋体" w:eastAsia="宋体"/>
                <w:b/>
                <w:bCs/>
                <w:color w:val="0000FF"/>
              </w:rPr>
              <w:t>技术</w:t>
            </w:r>
          </w:p>
        </w:tc>
        <w:tc>
          <w:tcPr>
            <w:tcW w:w="5386" w:type="dxa"/>
            <w:tcBorders>
              <w:top w:val="single" w:color="000000" w:sz="8" w:space="0"/>
              <w:left w:val="single" w:color="000000" w:sz="8" w:space="0"/>
              <w:bottom w:val="single" w:color="000000" w:sz="8" w:space="0"/>
              <w:right w:val="single" w:color="000000" w:sz="8" w:space="0"/>
            </w:tcBorders>
          </w:tcPr>
          <w:p w14:paraId="52047565">
            <w:pPr>
              <w:spacing w:line="360" w:lineRule="exact"/>
              <w:jc w:val="center"/>
              <w:rPr>
                <w:rFonts w:hint="default" w:ascii="宋体" w:eastAsia="宋体"/>
                <w:b/>
                <w:bCs/>
                <w:color w:val="0000FF"/>
                <w:lang w:val="en-US" w:eastAsia="zh-CN"/>
              </w:rPr>
            </w:pPr>
            <w:r>
              <w:rPr>
                <w:rFonts w:hint="eastAsia" w:ascii="宋体"/>
                <w:b/>
                <w:bCs/>
                <w:color w:val="0000FF"/>
                <w:lang w:val="en-US" w:eastAsia="zh-CN"/>
              </w:rPr>
              <w:t>39</w:t>
            </w:r>
          </w:p>
        </w:tc>
      </w:tr>
      <w:tr w14:paraId="1E3E02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3CB2A891">
            <w:pPr>
              <w:spacing w:line="360" w:lineRule="exact"/>
              <w:jc w:val="center"/>
              <w:rPr>
                <w:rFonts w:ascii="宋体" w:eastAsia="宋体" w:cs="宋体"/>
                <w:b/>
                <w:bCs/>
                <w:color w:val="0000FF"/>
                <w:sz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2CE0E9C">
            <w:pPr>
              <w:spacing w:line="360" w:lineRule="exact"/>
              <w:jc w:val="center"/>
              <w:rPr>
                <w:rFonts w:ascii="宋体" w:eastAsia="宋体" w:cs="宋体"/>
                <w:szCs w:val="21"/>
              </w:rPr>
            </w:pPr>
            <w:r>
              <w:rPr>
                <w:rFonts w:ascii="宋体" w:eastAsia="宋体"/>
                <w:szCs w:val="21"/>
              </w:rPr>
              <w:t>序号</w:t>
            </w:r>
          </w:p>
        </w:tc>
        <w:tc>
          <w:tcPr>
            <w:tcW w:w="2116"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469D94E">
            <w:pPr>
              <w:spacing w:line="360" w:lineRule="exact"/>
              <w:jc w:val="center"/>
              <w:rPr>
                <w:rFonts w:ascii="宋体" w:eastAsia="宋体"/>
                <w:szCs w:val="21"/>
              </w:rPr>
            </w:pPr>
            <w:r>
              <w:rPr>
                <w:rFonts w:ascii="宋体" w:eastAsia="宋体"/>
                <w:szCs w:val="21"/>
              </w:rPr>
              <w:t>评分因素</w:t>
            </w:r>
          </w:p>
        </w:tc>
        <w:tc>
          <w:tcPr>
            <w:tcW w:w="637"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1F629C25">
            <w:pPr>
              <w:spacing w:line="360" w:lineRule="exact"/>
              <w:jc w:val="center"/>
              <w:rPr>
                <w:rFonts w:ascii="宋体" w:eastAsia="宋体"/>
                <w:szCs w:val="21"/>
              </w:rPr>
            </w:pPr>
            <w:r>
              <w:rPr>
                <w:rFonts w:ascii="宋体" w:eastAsia="宋体"/>
                <w:szCs w:val="21"/>
              </w:rPr>
              <w:t>权重(%)</w:t>
            </w:r>
          </w:p>
        </w:tc>
        <w:tc>
          <w:tcPr>
            <w:tcW w:w="5386"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0FDD074">
            <w:pPr>
              <w:spacing w:line="360" w:lineRule="exact"/>
              <w:jc w:val="center"/>
              <w:rPr>
                <w:rFonts w:ascii="宋体" w:eastAsia="宋体"/>
                <w:szCs w:val="21"/>
              </w:rPr>
            </w:pPr>
            <w:r>
              <w:rPr>
                <w:rFonts w:ascii="宋体" w:eastAsia="宋体"/>
                <w:szCs w:val="21"/>
              </w:rPr>
              <w:t>评分准则</w:t>
            </w:r>
          </w:p>
        </w:tc>
      </w:tr>
      <w:tr w14:paraId="433152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tcPr>
          <w:p w14:paraId="5383B5A2">
            <w:pPr>
              <w:spacing w:line="360" w:lineRule="exact"/>
              <w:rPr>
                <w:rFonts w:ascii="宋体" w:eastAsia="宋体" w:cs="宋体"/>
                <w:b/>
                <w:bCs/>
                <w:color w:val="0000FF"/>
                <w:sz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79666A8C">
            <w:pPr>
              <w:spacing w:line="360" w:lineRule="exact"/>
              <w:jc w:val="center"/>
              <w:rPr>
                <w:rFonts w:ascii="宋体" w:eastAsia="宋体"/>
                <w:szCs w:val="21"/>
              </w:rPr>
            </w:pPr>
            <w:r>
              <w:rPr>
                <w:rFonts w:ascii="宋体" w:eastAsia="宋体"/>
                <w:szCs w:val="21"/>
              </w:rPr>
              <w:t>1</w:t>
            </w:r>
          </w:p>
        </w:tc>
        <w:tc>
          <w:tcPr>
            <w:tcW w:w="2116" w:type="dxa"/>
            <w:tcBorders>
              <w:top w:val="single" w:color="000000" w:sz="8" w:space="0"/>
              <w:left w:val="single" w:color="000000" w:sz="8" w:space="0"/>
              <w:bottom w:val="single" w:color="000000" w:sz="8" w:space="0"/>
              <w:right w:val="single" w:color="000000" w:sz="8" w:space="0"/>
            </w:tcBorders>
            <w:vAlign w:val="center"/>
          </w:tcPr>
          <w:p w14:paraId="3522CAE8">
            <w:pPr>
              <w:spacing w:line="360" w:lineRule="exact"/>
              <w:jc w:val="center"/>
              <w:rPr>
                <w:rFonts w:ascii="宋体" w:eastAsia="宋体"/>
                <w:color w:val="auto"/>
                <w:szCs w:val="21"/>
              </w:rPr>
            </w:pPr>
            <w:r>
              <w:rPr>
                <w:rFonts w:hint="eastAsia" w:ascii="宋体" w:eastAsia="宋体"/>
                <w:color w:val="auto"/>
                <w:szCs w:val="21"/>
                <w:lang w:val="zh-CN"/>
              </w:rPr>
              <w:t>技术规格偏离情况</w:t>
            </w:r>
          </w:p>
        </w:tc>
        <w:tc>
          <w:tcPr>
            <w:tcW w:w="637" w:type="dxa"/>
            <w:tcBorders>
              <w:top w:val="single" w:color="000000" w:sz="8" w:space="0"/>
              <w:left w:val="single" w:color="000000" w:sz="8" w:space="0"/>
              <w:bottom w:val="single" w:color="000000" w:sz="8" w:space="0"/>
              <w:right w:val="single" w:color="000000" w:sz="8" w:space="0"/>
            </w:tcBorders>
            <w:vAlign w:val="center"/>
          </w:tcPr>
          <w:p w14:paraId="31496C80">
            <w:pPr>
              <w:spacing w:line="360" w:lineRule="exact"/>
              <w:jc w:val="center"/>
              <w:rPr>
                <w:rFonts w:hint="default" w:ascii="宋体" w:eastAsia="宋体"/>
                <w:color w:val="auto"/>
                <w:szCs w:val="21"/>
                <w:lang w:val="en-US" w:eastAsia="zh-CN"/>
              </w:rPr>
            </w:pPr>
            <w:r>
              <w:rPr>
                <w:rFonts w:hint="eastAsia" w:ascii="宋体"/>
                <w:color w:val="auto"/>
                <w:szCs w:val="21"/>
                <w:lang w:val="en-US" w:eastAsia="zh-CN"/>
              </w:rPr>
              <w:t>19</w:t>
            </w:r>
          </w:p>
        </w:tc>
        <w:tc>
          <w:tcPr>
            <w:tcW w:w="5386" w:type="dxa"/>
            <w:tcBorders>
              <w:top w:val="single" w:color="000000" w:sz="8" w:space="0"/>
              <w:left w:val="single" w:color="000000" w:sz="8" w:space="0"/>
              <w:bottom w:val="single" w:color="000000" w:sz="8" w:space="0"/>
              <w:right w:val="single" w:color="000000" w:sz="8" w:space="0"/>
            </w:tcBorders>
          </w:tcPr>
          <w:p w14:paraId="7771FF92">
            <w:pPr>
              <w:spacing w:line="360" w:lineRule="exact"/>
              <w:jc w:val="left"/>
              <w:rPr>
                <w:rFonts w:ascii="宋体" w:eastAsia="宋体"/>
                <w:color w:val="auto"/>
                <w:szCs w:val="21"/>
              </w:rPr>
            </w:pPr>
            <w:r>
              <w:rPr>
                <w:rFonts w:ascii="宋体" w:eastAsia="宋体"/>
                <w:color w:val="auto"/>
                <w:szCs w:val="21"/>
              </w:rPr>
              <w:t>（一）评分内容：</w:t>
            </w:r>
          </w:p>
          <w:p w14:paraId="5E12A8D5">
            <w:pPr>
              <w:spacing w:line="360" w:lineRule="exact"/>
              <w:jc w:val="left"/>
              <w:rPr>
                <w:rFonts w:ascii="宋体" w:eastAsia="宋体"/>
                <w:color w:val="auto"/>
                <w:szCs w:val="21"/>
              </w:rPr>
            </w:pPr>
            <w:r>
              <w:rPr>
                <w:rFonts w:ascii="宋体" w:eastAsia="宋体"/>
                <w:color w:val="auto"/>
                <w:szCs w:val="21"/>
              </w:rPr>
              <w:t>以投标文件《技术规格偏离表》为评审依据，各项技术参数指标及要求全部满足的得100分，每有1项▲参数负偏离的扣</w:t>
            </w:r>
            <w:r>
              <w:rPr>
                <w:rFonts w:hint="eastAsia" w:ascii="宋体"/>
                <w:color w:val="auto"/>
                <w:szCs w:val="21"/>
                <w:lang w:val="en-US" w:eastAsia="zh-CN"/>
              </w:rPr>
              <w:t>5</w:t>
            </w:r>
            <w:r>
              <w:rPr>
                <w:rFonts w:ascii="宋体" w:eastAsia="宋体"/>
                <w:color w:val="auto"/>
                <w:szCs w:val="21"/>
              </w:rPr>
              <w:t>分，其它参数每负偏离一项扣</w:t>
            </w:r>
            <w:r>
              <w:rPr>
                <w:rFonts w:hint="eastAsia" w:ascii="宋体"/>
                <w:color w:val="auto"/>
                <w:szCs w:val="21"/>
                <w:lang w:val="en-US" w:eastAsia="zh-CN"/>
              </w:rPr>
              <w:t>0.33</w:t>
            </w:r>
            <w:r>
              <w:rPr>
                <w:rFonts w:ascii="宋体" w:eastAsia="宋体"/>
                <w:color w:val="auto"/>
                <w:szCs w:val="21"/>
              </w:rPr>
              <w:t>分，最低0分。</w:t>
            </w:r>
          </w:p>
          <w:p w14:paraId="49C0CD04">
            <w:pPr>
              <w:spacing w:line="360" w:lineRule="exact"/>
              <w:rPr>
                <w:rFonts w:hint="eastAsia" w:ascii="宋体"/>
                <w:color w:val="auto"/>
                <w:szCs w:val="21"/>
              </w:rPr>
            </w:pPr>
            <w:r>
              <w:rPr>
                <w:rFonts w:hint="eastAsia" w:ascii="宋体"/>
                <w:color w:val="auto"/>
                <w:szCs w:val="21"/>
              </w:rPr>
              <w:t>如</w:t>
            </w:r>
            <w:r>
              <w:rPr>
                <w:rFonts w:hint="eastAsia" w:ascii="宋体"/>
                <w:color w:val="auto"/>
                <w:szCs w:val="21"/>
                <w:lang w:eastAsia="zh-CN"/>
              </w:rPr>
              <w:t>投标人</w:t>
            </w:r>
            <w:r>
              <w:rPr>
                <w:rFonts w:hint="eastAsia" w:ascii="宋体"/>
                <w:color w:val="auto"/>
                <w:szCs w:val="21"/>
              </w:rPr>
              <w:t>对</w:t>
            </w:r>
            <w:r>
              <w:rPr>
                <w:rFonts w:hint="eastAsia" w:ascii="宋体"/>
                <w:color w:val="auto"/>
                <w:szCs w:val="21"/>
                <w:lang w:eastAsia="zh-CN"/>
              </w:rPr>
              <w:t>某</w:t>
            </w:r>
            <w:r>
              <w:rPr>
                <w:rFonts w:hint="eastAsia" w:ascii="宋体"/>
                <w:color w:val="auto"/>
                <w:szCs w:val="21"/>
              </w:rPr>
              <w:t>一项技术</w:t>
            </w:r>
            <w:r>
              <w:rPr>
                <w:rFonts w:hint="eastAsia" w:ascii="宋体"/>
                <w:color w:val="auto"/>
                <w:szCs w:val="21"/>
                <w:lang w:eastAsia="zh-CN"/>
              </w:rPr>
              <w:t>参数</w:t>
            </w:r>
            <w:r>
              <w:rPr>
                <w:rFonts w:hint="eastAsia" w:ascii="宋体"/>
                <w:color w:val="auto"/>
                <w:szCs w:val="21"/>
              </w:rPr>
              <w:t>（以</w:t>
            </w:r>
            <w:r>
              <w:rPr>
                <w:rFonts w:hint="eastAsia" w:ascii="宋体"/>
                <w:color w:val="auto"/>
                <w:szCs w:val="21"/>
                <w:lang w:eastAsia="zh-CN"/>
              </w:rPr>
              <w:t>招标文件技术要求中</w:t>
            </w:r>
            <w:r>
              <w:rPr>
                <w:rFonts w:hint="eastAsia" w:ascii="宋体"/>
                <w:color w:val="auto"/>
                <w:szCs w:val="21"/>
              </w:rPr>
              <w:t>划分框为准）存在两处（或以上）负偏离的，在评分时只作一项负偏离</w:t>
            </w:r>
            <w:r>
              <w:rPr>
                <w:rFonts w:hint="eastAsia" w:ascii="宋体"/>
                <w:color w:val="auto"/>
                <w:szCs w:val="21"/>
                <w:lang w:eastAsia="zh-CN"/>
              </w:rPr>
              <w:t>计算</w:t>
            </w:r>
            <w:r>
              <w:rPr>
                <w:rFonts w:hint="eastAsia" w:ascii="宋体"/>
                <w:color w:val="auto"/>
                <w:szCs w:val="21"/>
              </w:rPr>
              <w:t>扣分。</w:t>
            </w:r>
          </w:p>
          <w:p w14:paraId="59A3910A">
            <w:pPr>
              <w:spacing w:line="360" w:lineRule="exact"/>
              <w:rPr>
                <w:rFonts w:ascii="宋体" w:eastAsia="宋体"/>
                <w:color w:val="auto"/>
                <w:szCs w:val="21"/>
              </w:rPr>
            </w:pPr>
            <w:r>
              <w:rPr>
                <w:rFonts w:ascii="宋体" w:eastAsia="宋体"/>
                <w:color w:val="auto"/>
                <w:szCs w:val="21"/>
              </w:rPr>
              <w:t>（二）评分</w:t>
            </w:r>
            <w:r>
              <w:rPr>
                <w:rFonts w:hint="eastAsia" w:ascii="宋体" w:eastAsia="宋体"/>
                <w:color w:val="auto"/>
                <w:szCs w:val="21"/>
              </w:rPr>
              <w:t>依据</w:t>
            </w:r>
            <w:r>
              <w:rPr>
                <w:rFonts w:ascii="宋体" w:eastAsia="宋体"/>
                <w:color w:val="auto"/>
                <w:szCs w:val="21"/>
              </w:rPr>
              <w:t>：</w:t>
            </w:r>
          </w:p>
          <w:p w14:paraId="78C5C564">
            <w:pPr>
              <w:spacing w:line="360" w:lineRule="exact"/>
              <w:rPr>
                <w:rFonts w:ascii="宋体" w:cs="仿宋"/>
                <w:color w:val="auto"/>
                <w:szCs w:val="21"/>
                <w:lang w:val="zh-CN"/>
              </w:rPr>
            </w:pPr>
            <w:r>
              <w:rPr>
                <w:rFonts w:ascii="宋体" w:eastAsia="宋体"/>
                <w:color w:val="auto"/>
                <w:szCs w:val="21"/>
              </w:rPr>
              <w:t>投标人应如实填写《技术规格偏离表》，按招标文件要求提供相应的证明材料扫描件（原件备查），并注明证明材料在投标文件中的具体位置。证明材料与</w:t>
            </w:r>
            <w:r>
              <w:rPr>
                <w:rFonts w:hint="eastAsia" w:ascii="宋体"/>
                <w:color w:val="auto"/>
                <w:szCs w:val="21"/>
                <w:lang w:val="en-US" w:eastAsia="zh-CN"/>
              </w:rPr>
              <w:t>技术规格</w:t>
            </w:r>
            <w:r>
              <w:rPr>
                <w:rFonts w:ascii="宋体" w:eastAsia="宋体"/>
                <w:color w:val="auto"/>
                <w:szCs w:val="21"/>
              </w:rPr>
              <w:t>偏离表填写内容不一致，未提供有效证明材料或未注明证明材料在投标文件中的具体位置或提供的证明材料不完整或不清晰的，该项技术指标按负偏离处理。</w:t>
            </w:r>
          </w:p>
          <w:p w14:paraId="716B5841">
            <w:pPr>
              <w:spacing w:line="360" w:lineRule="exact"/>
              <w:rPr>
                <w:rFonts w:ascii="宋体" w:eastAsia="宋体"/>
                <w:color w:val="auto"/>
                <w:szCs w:val="21"/>
              </w:rPr>
            </w:pPr>
            <w:r>
              <w:rPr>
                <w:rFonts w:hint="eastAsia" w:ascii="宋体" w:cs="仿宋"/>
                <w:color w:val="auto"/>
                <w:szCs w:val="21"/>
              </w:rPr>
              <w:t>证明材料涉及检测（或检验）报告的，投标人需同时提供：①检验检测机构的资质认定证书（CMA）扫描件；②加盖检验检测专用章及标注资质认定标志(CMA)的检验检测报告扫描件，对应参数需在检验检测报告中标注；③提供“全国认证认可信息公共服务平台(http://cx.cnca.cn/)”或检测机构官网的检验检测报告查询记录截图且编号一致；④投标人出具检验检测报告未超出检验检测机构资质认定证书规定的检测范围的承诺函(格式自拟)。未按要求提供或者任一项不符合要求的视为负偏离；如检验检测报告中明确备注说明相关检验检测项不在该机构认证范围内的，视为负偏离。</w:t>
            </w:r>
          </w:p>
          <w:p w14:paraId="54E33F58">
            <w:pPr>
              <w:spacing w:line="360" w:lineRule="exact"/>
              <w:rPr>
                <w:b/>
                <w:color w:val="auto"/>
              </w:rPr>
            </w:pPr>
            <w:r>
              <w:rPr>
                <w:rFonts w:hint="eastAsia" w:ascii="宋体" w:eastAsia="宋体"/>
                <w:b/>
                <w:color w:val="auto"/>
                <w:szCs w:val="21"/>
              </w:rPr>
              <w:t>特别提醒：投标人的技术参数响应情况、偏离情况等必须与客观实际保持一致，响应不实且情节严重的，经查实，将依法记入供应商诚信档案或受到行政处罚。</w:t>
            </w:r>
          </w:p>
        </w:tc>
      </w:tr>
      <w:tr w14:paraId="0C44EE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5068" w:hRule="atLeast"/>
          <w:jc w:val="center"/>
        </w:trPr>
        <w:tc>
          <w:tcPr>
            <w:tcW w:w="680" w:type="dxa"/>
            <w:tcBorders>
              <w:top w:val="nil"/>
              <w:left w:val="single" w:color="000000" w:sz="8" w:space="0"/>
              <w:bottom w:val="nil"/>
              <w:right w:val="single" w:color="000000" w:sz="8" w:space="0"/>
            </w:tcBorders>
          </w:tcPr>
          <w:p w14:paraId="77B0A34C">
            <w:pPr>
              <w:spacing w:line="360" w:lineRule="exact"/>
              <w:rPr>
                <w:rFonts w:ascii="宋体" w:eastAsia="宋体" w:cs="宋体"/>
                <w:b/>
                <w:bCs/>
                <w:color w:val="0000FF"/>
                <w:sz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1AEB5F4">
            <w:pPr>
              <w:spacing w:line="360" w:lineRule="exact"/>
              <w:jc w:val="center"/>
              <w:rPr>
                <w:rFonts w:ascii="宋体" w:eastAsia="宋体"/>
                <w:szCs w:val="21"/>
              </w:rPr>
            </w:pPr>
            <w:r>
              <w:rPr>
                <w:rFonts w:hint="eastAsia" w:ascii="宋体" w:eastAsia="宋体"/>
                <w:szCs w:val="21"/>
              </w:rPr>
              <w:t>2</w:t>
            </w:r>
          </w:p>
        </w:tc>
        <w:tc>
          <w:tcPr>
            <w:tcW w:w="2116" w:type="dxa"/>
            <w:tcBorders>
              <w:top w:val="single" w:color="000000" w:sz="8" w:space="0"/>
              <w:left w:val="single" w:color="000000" w:sz="8" w:space="0"/>
              <w:bottom w:val="single" w:color="000000" w:sz="8" w:space="0"/>
              <w:right w:val="single" w:color="000000" w:sz="8" w:space="0"/>
            </w:tcBorders>
            <w:vAlign w:val="center"/>
          </w:tcPr>
          <w:p w14:paraId="19B618AF">
            <w:pPr>
              <w:spacing w:line="360" w:lineRule="exact"/>
              <w:jc w:val="center"/>
              <w:rPr>
                <w:rFonts w:ascii="宋体" w:eastAsia="宋体"/>
                <w:color w:val="auto"/>
                <w:szCs w:val="21"/>
              </w:rPr>
            </w:pPr>
            <w:r>
              <w:rPr>
                <w:rFonts w:hint="eastAsia" w:ascii="宋体" w:eastAsia="宋体"/>
                <w:color w:val="auto"/>
                <w:szCs w:val="21"/>
              </w:rPr>
              <w:t>项目技术方案</w:t>
            </w:r>
          </w:p>
        </w:tc>
        <w:tc>
          <w:tcPr>
            <w:tcW w:w="637" w:type="dxa"/>
            <w:tcBorders>
              <w:top w:val="single" w:color="000000" w:sz="8" w:space="0"/>
              <w:left w:val="single" w:color="000000" w:sz="8" w:space="0"/>
              <w:bottom w:val="single" w:color="000000" w:sz="8" w:space="0"/>
              <w:right w:val="single" w:color="000000" w:sz="8" w:space="0"/>
            </w:tcBorders>
            <w:vAlign w:val="center"/>
          </w:tcPr>
          <w:p w14:paraId="51A8F5D1">
            <w:pPr>
              <w:spacing w:line="360" w:lineRule="exact"/>
              <w:jc w:val="center"/>
              <w:rPr>
                <w:rFonts w:ascii="宋体" w:eastAsia="宋体"/>
                <w:color w:val="auto"/>
                <w:szCs w:val="21"/>
                <w:lang w:val="en-US" w:eastAsia="zh-CN"/>
              </w:rPr>
            </w:pPr>
            <w:r>
              <w:rPr>
                <w:rFonts w:hint="eastAsia" w:ascii="宋体"/>
                <w:color w:val="auto"/>
                <w:szCs w:val="21"/>
                <w:lang w:val="en-US" w:eastAsia="zh-CN"/>
              </w:rPr>
              <w:t>5</w:t>
            </w:r>
          </w:p>
        </w:tc>
        <w:tc>
          <w:tcPr>
            <w:tcW w:w="5386" w:type="dxa"/>
            <w:tcBorders>
              <w:top w:val="single" w:color="000000" w:sz="8" w:space="0"/>
              <w:left w:val="single" w:color="000000" w:sz="8" w:space="0"/>
              <w:bottom w:val="single" w:color="000000" w:sz="8" w:space="0"/>
              <w:right w:val="single" w:color="000000" w:sz="8" w:space="0"/>
            </w:tcBorders>
          </w:tcPr>
          <w:p w14:paraId="5A07D69D">
            <w:pPr>
              <w:spacing w:line="360" w:lineRule="exact"/>
              <w:rPr>
                <w:rFonts w:ascii="宋体"/>
                <w:color w:val="auto"/>
                <w:szCs w:val="21"/>
              </w:rPr>
            </w:pPr>
            <w:r>
              <w:rPr>
                <w:rFonts w:hint="eastAsia" w:ascii="宋体"/>
                <w:color w:val="auto"/>
                <w:szCs w:val="21"/>
              </w:rPr>
              <w:t>（一）评分内容：</w:t>
            </w:r>
          </w:p>
          <w:p w14:paraId="7A59C454">
            <w:pPr>
              <w:spacing w:line="360" w:lineRule="exact"/>
              <w:jc w:val="left"/>
              <w:rPr>
                <w:rFonts w:ascii="宋体" w:cs="仿宋"/>
                <w:color w:val="auto"/>
                <w:szCs w:val="21"/>
              </w:rPr>
            </w:pPr>
            <w:r>
              <w:rPr>
                <w:rFonts w:hint="eastAsia" w:ascii="宋体" w:cs="仿宋"/>
                <w:color w:val="auto"/>
                <w:szCs w:val="21"/>
              </w:rPr>
              <w:t>投标人</w:t>
            </w:r>
            <w:r>
              <w:rPr>
                <w:rFonts w:ascii="宋体" w:cs="仿宋"/>
                <w:color w:val="auto"/>
                <w:szCs w:val="21"/>
              </w:rPr>
              <w:t>在投标文件中详细说明</w:t>
            </w:r>
            <w:r>
              <w:rPr>
                <w:rFonts w:hint="eastAsia" w:ascii="宋体" w:cs="仿宋"/>
                <w:color w:val="auto"/>
                <w:szCs w:val="21"/>
              </w:rPr>
              <w:t>项目技术方案（含设计图纸）</w:t>
            </w:r>
            <w:r>
              <w:rPr>
                <w:rFonts w:hint="eastAsia" w:ascii="宋体" w:eastAsia="宋体"/>
                <w:color w:val="auto"/>
                <w:kern w:val="0"/>
                <w:szCs w:val="21"/>
              </w:rPr>
              <w:t>，包含以下内容：</w:t>
            </w:r>
          </w:p>
          <w:p w14:paraId="58524BD2">
            <w:pPr>
              <w:spacing w:line="360" w:lineRule="exact"/>
              <w:jc w:val="left"/>
              <w:rPr>
                <w:rFonts w:ascii="宋体" w:cs="仿宋"/>
                <w:color w:val="auto"/>
                <w:szCs w:val="21"/>
              </w:rPr>
            </w:pPr>
            <w:r>
              <w:rPr>
                <w:rFonts w:hint="eastAsia" w:ascii="宋体" w:cs="仿宋"/>
                <w:color w:val="auto"/>
                <w:szCs w:val="21"/>
              </w:rPr>
              <w:t>（1）</w:t>
            </w:r>
            <w:r>
              <w:rPr>
                <w:rFonts w:hint="eastAsia" w:ascii="宋体"/>
                <w:color w:val="auto"/>
                <w:szCs w:val="21"/>
                <w:lang w:val="en-US" w:eastAsia="zh-CN"/>
              </w:rPr>
              <w:t>船体设计</w:t>
            </w:r>
            <w:r>
              <w:rPr>
                <w:rFonts w:hint="eastAsia" w:ascii="宋体" w:cs="仿宋"/>
                <w:color w:val="auto"/>
                <w:szCs w:val="21"/>
              </w:rPr>
              <w:t>；</w:t>
            </w:r>
          </w:p>
          <w:p w14:paraId="699AF5CC">
            <w:pPr>
              <w:spacing w:line="360" w:lineRule="exact"/>
              <w:jc w:val="left"/>
              <w:rPr>
                <w:rFonts w:ascii="宋体" w:cs="仿宋"/>
                <w:color w:val="auto"/>
                <w:szCs w:val="21"/>
              </w:rPr>
            </w:pPr>
            <w:r>
              <w:rPr>
                <w:rFonts w:hint="eastAsia" w:ascii="宋体" w:cs="仿宋"/>
                <w:color w:val="auto"/>
                <w:szCs w:val="21"/>
              </w:rPr>
              <w:t>（2）</w:t>
            </w:r>
            <w:r>
              <w:rPr>
                <w:rFonts w:hint="eastAsia" w:ascii="宋体"/>
                <w:color w:val="auto"/>
                <w:szCs w:val="21"/>
                <w:lang w:val="en-US" w:eastAsia="zh-CN"/>
              </w:rPr>
              <w:t>轮机设计</w:t>
            </w:r>
            <w:r>
              <w:rPr>
                <w:rFonts w:hint="eastAsia" w:ascii="宋体" w:cs="仿宋"/>
                <w:color w:val="auto"/>
                <w:szCs w:val="21"/>
              </w:rPr>
              <w:t>；</w:t>
            </w:r>
          </w:p>
          <w:p w14:paraId="5506E3DF">
            <w:pPr>
              <w:spacing w:line="360" w:lineRule="exact"/>
              <w:jc w:val="left"/>
              <w:rPr>
                <w:rFonts w:ascii="宋体" w:cs="仿宋"/>
                <w:color w:val="auto"/>
                <w:szCs w:val="21"/>
              </w:rPr>
            </w:pPr>
            <w:r>
              <w:rPr>
                <w:rFonts w:hint="eastAsia" w:ascii="宋体" w:cs="仿宋"/>
                <w:color w:val="auto"/>
                <w:szCs w:val="21"/>
              </w:rPr>
              <w:t>（3）</w:t>
            </w:r>
            <w:r>
              <w:rPr>
                <w:rFonts w:hint="eastAsia" w:ascii="宋体"/>
                <w:color w:val="auto"/>
                <w:szCs w:val="21"/>
                <w:lang w:val="en-US" w:eastAsia="zh-CN"/>
              </w:rPr>
              <w:t>电气设计</w:t>
            </w:r>
            <w:r>
              <w:rPr>
                <w:rFonts w:hint="eastAsia" w:ascii="宋体" w:cs="仿宋"/>
                <w:color w:val="auto"/>
                <w:szCs w:val="21"/>
              </w:rPr>
              <w:t>。</w:t>
            </w:r>
          </w:p>
          <w:p w14:paraId="52274118">
            <w:pPr>
              <w:autoSpaceDE w:val="0"/>
              <w:autoSpaceDN w:val="0"/>
              <w:adjustRightInd w:val="0"/>
              <w:spacing w:line="360" w:lineRule="exact"/>
              <w:jc w:val="left"/>
              <w:rPr>
                <w:rFonts w:ascii="宋体"/>
                <w:color w:val="auto"/>
                <w:kern w:val="0"/>
                <w:szCs w:val="21"/>
              </w:rPr>
            </w:pPr>
            <w:r>
              <w:rPr>
                <w:rFonts w:hint="eastAsia" w:ascii="宋体"/>
                <w:color w:val="auto"/>
                <w:kern w:val="0"/>
                <w:szCs w:val="21"/>
              </w:rPr>
              <w:t>（二）评分标准：</w:t>
            </w:r>
          </w:p>
          <w:p w14:paraId="793A1FFC">
            <w:pPr>
              <w:spacing w:line="360" w:lineRule="exact"/>
              <w:rPr>
                <w:rFonts w:ascii="宋体" w:eastAsia="宋体"/>
                <w:color w:val="auto"/>
                <w:szCs w:val="21"/>
              </w:rPr>
            </w:pPr>
            <w:r>
              <w:rPr>
                <w:rFonts w:hint="eastAsia" w:ascii="宋体" w:eastAsia="宋体"/>
                <w:color w:val="auto"/>
                <w:szCs w:val="21"/>
              </w:rPr>
              <w:t>方案包含以上三项内容得</w:t>
            </w:r>
            <w:r>
              <w:rPr>
                <w:rFonts w:hint="eastAsia" w:ascii="宋体" w:eastAsia="宋体"/>
                <w:color w:val="auto"/>
                <w:szCs w:val="21"/>
                <w:lang w:val="en-US" w:eastAsia="zh-CN"/>
              </w:rPr>
              <w:t>60</w:t>
            </w:r>
            <w:r>
              <w:rPr>
                <w:rFonts w:hint="eastAsia" w:ascii="宋体" w:eastAsia="宋体"/>
                <w:color w:val="auto"/>
                <w:szCs w:val="21"/>
              </w:rPr>
              <w:t>分；包含以上二项内容得</w:t>
            </w:r>
            <w:r>
              <w:rPr>
                <w:rFonts w:hint="eastAsia" w:ascii="宋体" w:eastAsia="宋体"/>
                <w:color w:val="auto"/>
                <w:szCs w:val="21"/>
                <w:lang w:val="en-US" w:eastAsia="zh-CN"/>
              </w:rPr>
              <w:t>40</w:t>
            </w:r>
            <w:r>
              <w:rPr>
                <w:rFonts w:hint="eastAsia" w:ascii="宋体" w:eastAsia="宋体"/>
                <w:color w:val="auto"/>
                <w:szCs w:val="21"/>
              </w:rPr>
              <w:t>分；包含以上一项内容得</w:t>
            </w:r>
            <w:r>
              <w:rPr>
                <w:rFonts w:hint="eastAsia" w:ascii="宋体" w:eastAsia="宋体"/>
                <w:color w:val="auto"/>
                <w:szCs w:val="21"/>
                <w:lang w:val="en-US" w:eastAsia="zh-CN"/>
              </w:rPr>
              <w:t>20</w:t>
            </w:r>
            <w:r>
              <w:rPr>
                <w:rFonts w:hint="eastAsia" w:ascii="宋体" w:eastAsia="宋体"/>
                <w:color w:val="auto"/>
                <w:szCs w:val="21"/>
              </w:rPr>
              <w:t>分；其他情况不得分。</w:t>
            </w:r>
          </w:p>
          <w:p w14:paraId="1B424DA7">
            <w:pPr>
              <w:spacing w:line="360" w:lineRule="exact"/>
              <w:rPr>
                <w:rFonts w:ascii="宋体" w:eastAsia="宋体"/>
                <w:color w:val="auto"/>
                <w:szCs w:val="21"/>
              </w:rPr>
            </w:pPr>
            <w:r>
              <w:rPr>
                <w:rFonts w:hint="eastAsia" w:ascii="宋体" w:eastAsia="宋体"/>
                <w:color w:val="auto"/>
                <w:szCs w:val="21"/>
              </w:rPr>
              <w:t>在此基础上，根据方案响应情况进一步评审：</w:t>
            </w:r>
          </w:p>
          <w:p w14:paraId="72F80B10">
            <w:pPr>
              <w:spacing w:line="360" w:lineRule="exact"/>
              <w:jc w:val="left"/>
              <w:rPr>
                <w:rFonts w:ascii="宋体" w:cs="仿宋"/>
                <w:color w:val="auto"/>
                <w:szCs w:val="21"/>
              </w:rPr>
            </w:pPr>
            <w:r>
              <w:rPr>
                <w:rFonts w:hint="eastAsia" w:ascii="宋体" w:cs="仿宋"/>
                <w:color w:val="auto"/>
                <w:szCs w:val="21"/>
              </w:rPr>
              <w:t>1.</w:t>
            </w:r>
            <w:r>
              <w:rPr>
                <w:rFonts w:hint="eastAsia" w:ascii="宋体"/>
                <w:color w:val="auto"/>
                <w:szCs w:val="21"/>
                <w:lang w:val="en-US" w:eastAsia="zh-CN"/>
              </w:rPr>
              <w:t>船体设计</w:t>
            </w:r>
            <w:r>
              <w:rPr>
                <w:rFonts w:hint="eastAsia" w:ascii="宋体" w:cs="仿宋"/>
                <w:color w:val="auto"/>
                <w:szCs w:val="21"/>
              </w:rPr>
              <w:t>内容全面、具体，</w:t>
            </w:r>
            <w:r>
              <w:rPr>
                <w:rFonts w:hint="eastAsia" w:ascii="宋体"/>
                <w:color w:val="auto"/>
                <w:szCs w:val="21"/>
                <w:lang w:val="en-US" w:eastAsia="zh-CN"/>
              </w:rPr>
              <w:t>轮机设计技术先进</w:t>
            </w:r>
            <w:r>
              <w:rPr>
                <w:rFonts w:hint="eastAsia" w:ascii="宋体" w:cs="仿宋"/>
                <w:color w:val="auto"/>
                <w:szCs w:val="21"/>
              </w:rPr>
              <w:t>，</w:t>
            </w:r>
            <w:r>
              <w:rPr>
                <w:rFonts w:hint="eastAsia" w:ascii="宋体"/>
                <w:color w:val="auto"/>
                <w:szCs w:val="21"/>
                <w:lang w:val="en-US" w:eastAsia="zh-CN"/>
              </w:rPr>
              <w:t>电气设计</w:t>
            </w:r>
            <w:r>
              <w:rPr>
                <w:rFonts w:hint="eastAsia" w:ascii="宋体" w:cs="仿宋"/>
                <w:color w:val="auto"/>
                <w:szCs w:val="21"/>
              </w:rPr>
              <w:t>可行性高加</w:t>
            </w:r>
            <w:r>
              <w:rPr>
                <w:rFonts w:hint="eastAsia" w:ascii="宋体" w:cs="仿宋"/>
                <w:color w:val="auto"/>
                <w:szCs w:val="21"/>
                <w:lang w:val="en-US" w:eastAsia="zh-CN"/>
              </w:rPr>
              <w:t>40</w:t>
            </w:r>
            <w:r>
              <w:rPr>
                <w:rFonts w:hint="eastAsia" w:ascii="宋体" w:cs="仿宋"/>
                <w:color w:val="auto"/>
                <w:szCs w:val="21"/>
              </w:rPr>
              <w:t>分；</w:t>
            </w:r>
          </w:p>
          <w:p w14:paraId="0E0F3F21">
            <w:pPr>
              <w:spacing w:line="360" w:lineRule="exact"/>
              <w:jc w:val="left"/>
              <w:rPr>
                <w:rFonts w:ascii="宋体" w:cs="仿宋"/>
                <w:color w:val="auto"/>
                <w:szCs w:val="21"/>
              </w:rPr>
            </w:pPr>
            <w:r>
              <w:rPr>
                <w:rFonts w:hint="eastAsia" w:ascii="宋体" w:cs="仿宋"/>
                <w:color w:val="auto"/>
                <w:szCs w:val="21"/>
              </w:rPr>
              <w:t>2.</w:t>
            </w:r>
            <w:r>
              <w:rPr>
                <w:rFonts w:hint="eastAsia" w:ascii="宋体"/>
                <w:color w:val="auto"/>
                <w:szCs w:val="21"/>
                <w:lang w:val="en-US" w:eastAsia="zh-CN"/>
              </w:rPr>
              <w:t>船体设计</w:t>
            </w:r>
            <w:r>
              <w:rPr>
                <w:rFonts w:hint="eastAsia" w:ascii="宋体" w:cs="仿宋"/>
                <w:color w:val="auto"/>
                <w:szCs w:val="21"/>
              </w:rPr>
              <w:t>内容较全面，</w:t>
            </w:r>
            <w:r>
              <w:rPr>
                <w:rFonts w:hint="eastAsia" w:ascii="宋体"/>
                <w:color w:val="auto"/>
                <w:szCs w:val="21"/>
                <w:lang w:val="en-US" w:eastAsia="zh-CN"/>
              </w:rPr>
              <w:t>轮机设计技术较先进，电气设计</w:t>
            </w:r>
            <w:r>
              <w:rPr>
                <w:rFonts w:hint="eastAsia" w:ascii="宋体" w:cs="仿宋"/>
                <w:color w:val="auto"/>
                <w:szCs w:val="21"/>
              </w:rPr>
              <w:t>可行性较高加</w:t>
            </w:r>
            <w:r>
              <w:rPr>
                <w:rFonts w:hint="eastAsia" w:ascii="宋体" w:cs="仿宋"/>
                <w:color w:val="auto"/>
                <w:szCs w:val="21"/>
                <w:lang w:val="en-US" w:eastAsia="zh-CN"/>
              </w:rPr>
              <w:t>20</w:t>
            </w:r>
            <w:r>
              <w:rPr>
                <w:rFonts w:hint="eastAsia" w:ascii="宋体" w:cs="仿宋"/>
                <w:color w:val="auto"/>
                <w:szCs w:val="21"/>
              </w:rPr>
              <w:t>分；</w:t>
            </w:r>
          </w:p>
          <w:p w14:paraId="194458FE">
            <w:pPr>
              <w:spacing w:line="360" w:lineRule="exact"/>
              <w:jc w:val="left"/>
              <w:rPr>
                <w:rFonts w:ascii="宋体" w:cs="仿宋"/>
                <w:color w:val="auto"/>
                <w:szCs w:val="21"/>
              </w:rPr>
            </w:pPr>
            <w:r>
              <w:rPr>
                <w:rFonts w:hint="eastAsia" w:ascii="宋体" w:cs="仿宋"/>
                <w:color w:val="auto"/>
                <w:szCs w:val="21"/>
              </w:rPr>
              <w:t>3.</w:t>
            </w:r>
            <w:r>
              <w:rPr>
                <w:rFonts w:hint="eastAsia" w:ascii="宋体"/>
                <w:color w:val="auto"/>
                <w:szCs w:val="21"/>
                <w:lang w:val="en-US" w:eastAsia="zh-CN"/>
              </w:rPr>
              <w:t>船体设计</w:t>
            </w:r>
            <w:r>
              <w:rPr>
                <w:rFonts w:hint="eastAsia" w:ascii="宋体" w:cs="仿宋"/>
                <w:color w:val="auto"/>
                <w:szCs w:val="21"/>
              </w:rPr>
              <w:t>内容不够全面，</w:t>
            </w:r>
            <w:r>
              <w:rPr>
                <w:rFonts w:hint="eastAsia" w:ascii="宋体"/>
                <w:color w:val="auto"/>
                <w:szCs w:val="21"/>
                <w:lang w:val="en-US" w:eastAsia="zh-CN"/>
              </w:rPr>
              <w:t>轮机设计技术</w:t>
            </w:r>
            <w:r>
              <w:rPr>
                <w:rFonts w:hint="eastAsia" w:ascii="宋体" w:cs="仿宋"/>
                <w:color w:val="auto"/>
                <w:szCs w:val="21"/>
              </w:rPr>
              <w:t>不够</w:t>
            </w:r>
            <w:r>
              <w:rPr>
                <w:rFonts w:hint="eastAsia" w:ascii="宋体" w:cs="仿宋"/>
                <w:color w:val="auto"/>
                <w:szCs w:val="21"/>
                <w:lang w:val="en-US" w:eastAsia="zh-CN"/>
              </w:rPr>
              <w:t>先进，</w:t>
            </w:r>
            <w:r>
              <w:rPr>
                <w:rFonts w:hint="eastAsia" w:ascii="宋体"/>
                <w:color w:val="auto"/>
                <w:szCs w:val="21"/>
                <w:lang w:val="en-US" w:eastAsia="zh-CN"/>
              </w:rPr>
              <w:t>电气设计</w:t>
            </w:r>
            <w:r>
              <w:rPr>
                <w:rFonts w:hint="eastAsia" w:ascii="宋体" w:cs="仿宋"/>
                <w:color w:val="auto"/>
                <w:szCs w:val="21"/>
              </w:rPr>
              <w:t>可行性</w:t>
            </w:r>
            <w:r>
              <w:rPr>
                <w:rFonts w:hint="eastAsia" w:ascii="宋体" w:cs="仿宋"/>
                <w:color w:val="auto"/>
                <w:szCs w:val="21"/>
                <w:lang w:val="en-US" w:eastAsia="zh-CN"/>
              </w:rPr>
              <w:t>一般</w:t>
            </w:r>
            <w:r>
              <w:rPr>
                <w:rFonts w:hint="eastAsia" w:ascii="宋体" w:cs="仿宋"/>
                <w:color w:val="auto"/>
                <w:szCs w:val="21"/>
              </w:rPr>
              <w:t>的，加10分；</w:t>
            </w:r>
          </w:p>
          <w:p w14:paraId="7227963D">
            <w:pPr>
              <w:spacing w:line="360" w:lineRule="exact"/>
              <w:rPr>
                <w:rFonts w:hint="eastAsia" w:ascii="宋体"/>
                <w:color w:val="auto"/>
                <w:szCs w:val="21"/>
                <w:lang w:eastAsia="zh-CN"/>
              </w:rPr>
            </w:pPr>
            <w:r>
              <w:rPr>
                <w:rFonts w:hint="eastAsia" w:ascii="宋体" w:cs="仿宋"/>
                <w:color w:val="auto"/>
                <w:szCs w:val="21"/>
              </w:rPr>
              <w:t>4.</w:t>
            </w:r>
            <w:r>
              <w:rPr>
                <w:rFonts w:hint="eastAsia" w:ascii="宋体"/>
                <w:color w:val="auto"/>
                <w:szCs w:val="21"/>
                <w:lang w:val="en-US" w:eastAsia="zh-CN"/>
              </w:rPr>
              <w:t>船体设计</w:t>
            </w:r>
            <w:r>
              <w:rPr>
                <w:rFonts w:hint="eastAsia" w:ascii="宋体" w:cs="仿宋"/>
                <w:color w:val="auto"/>
                <w:szCs w:val="21"/>
              </w:rPr>
              <w:t>内容不全面，</w:t>
            </w:r>
            <w:r>
              <w:rPr>
                <w:rFonts w:hint="eastAsia" w:ascii="宋体"/>
                <w:color w:val="auto"/>
                <w:szCs w:val="21"/>
                <w:lang w:val="en-US" w:eastAsia="zh-CN"/>
              </w:rPr>
              <w:t>轮机设计技术不先进</w:t>
            </w:r>
            <w:r>
              <w:rPr>
                <w:rFonts w:hint="eastAsia" w:ascii="宋体" w:cs="仿宋"/>
                <w:color w:val="auto"/>
                <w:szCs w:val="21"/>
                <w:lang w:val="en-US" w:eastAsia="zh-CN"/>
              </w:rPr>
              <w:t>，</w:t>
            </w:r>
            <w:r>
              <w:rPr>
                <w:rFonts w:hint="eastAsia" w:ascii="宋体"/>
                <w:color w:val="auto"/>
                <w:szCs w:val="21"/>
                <w:lang w:val="en-US" w:eastAsia="zh-CN"/>
              </w:rPr>
              <w:t>电气设计</w:t>
            </w:r>
            <w:r>
              <w:rPr>
                <w:rFonts w:hint="eastAsia" w:ascii="宋体" w:cs="仿宋"/>
                <w:color w:val="auto"/>
                <w:szCs w:val="21"/>
              </w:rPr>
              <w:t>可行性</w:t>
            </w:r>
            <w:r>
              <w:rPr>
                <w:rFonts w:hint="eastAsia" w:ascii="宋体" w:cs="仿宋"/>
                <w:color w:val="auto"/>
                <w:szCs w:val="21"/>
                <w:lang w:val="en-US" w:eastAsia="zh-CN"/>
              </w:rPr>
              <w:t>差</w:t>
            </w:r>
            <w:r>
              <w:rPr>
                <w:rFonts w:hint="eastAsia" w:ascii="宋体" w:cs="仿宋"/>
                <w:color w:val="auto"/>
                <w:szCs w:val="21"/>
              </w:rPr>
              <w:t>，不加分</w:t>
            </w:r>
            <w:r>
              <w:rPr>
                <w:rFonts w:hint="eastAsia" w:ascii="宋体" w:eastAsia="宋体"/>
                <w:color w:val="auto"/>
                <w:szCs w:val="21"/>
              </w:rPr>
              <w:t>。</w:t>
            </w:r>
          </w:p>
        </w:tc>
      </w:tr>
      <w:tr w14:paraId="543F82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1484" w:hRule="atLeast"/>
          <w:jc w:val="center"/>
        </w:trPr>
        <w:tc>
          <w:tcPr>
            <w:tcW w:w="680" w:type="dxa"/>
            <w:tcBorders>
              <w:top w:val="nil"/>
              <w:left w:val="single" w:color="000000" w:sz="8" w:space="0"/>
              <w:bottom w:val="nil"/>
              <w:right w:val="single" w:color="000000" w:sz="8" w:space="0"/>
            </w:tcBorders>
          </w:tcPr>
          <w:p w14:paraId="7961EB49">
            <w:pPr>
              <w:spacing w:line="360" w:lineRule="exact"/>
              <w:rPr>
                <w:rFonts w:ascii="宋体" w:eastAsia="宋体" w:cs="宋体"/>
                <w:b/>
                <w:bCs/>
                <w:color w:val="0000FF"/>
                <w:sz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3F5689A">
            <w:pPr>
              <w:spacing w:line="360" w:lineRule="exact"/>
              <w:jc w:val="center"/>
              <w:rPr>
                <w:rFonts w:ascii="宋体" w:eastAsia="宋体"/>
                <w:szCs w:val="21"/>
              </w:rPr>
            </w:pPr>
            <w:r>
              <w:rPr>
                <w:rFonts w:hint="eastAsia" w:ascii="宋体" w:eastAsia="宋体"/>
                <w:szCs w:val="21"/>
              </w:rPr>
              <w:t>3</w:t>
            </w:r>
          </w:p>
        </w:tc>
        <w:tc>
          <w:tcPr>
            <w:tcW w:w="2116" w:type="dxa"/>
            <w:tcBorders>
              <w:top w:val="single" w:color="000000" w:sz="8" w:space="0"/>
              <w:left w:val="single" w:color="000000" w:sz="8" w:space="0"/>
              <w:bottom w:val="single" w:color="000000" w:sz="8" w:space="0"/>
              <w:right w:val="single" w:color="000000" w:sz="8" w:space="0"/>
            </w:tcBorders>
            <w:vAlign w:val="center"/>
          </w:tcPr>
          <w:p w14:paraId="420A65ED">
            <w:pPr>
              <w:spacing w:line="360" w:lineRule="exact"/>
              <w:jc w:val="center"/>
              <w:rPr>
                <w:rFonts w:ascii="宋体" w:eastAsia="宋体"/>
                <w:szCs w:val="21"/>
              </w:rPr>
            </w:pPr>
            <w:r>
              <w:rPr>
                <w:rFonts w:hint="eastAsia" w:ascii="宋体" w:eastAsia="宋体"/>
                <w:szCs w:val="21"/>
              </w:rPr>
              <w:t>项目实施方案</w:t>
            </w:r>
          </w:p>
        </w:tc>
        <w:tc>
          <w:tcPr>
            <w:tcW w:w="637" w:type="dxa"/>
            <w:tcBorders>
              <w:top w:val="single" w:color="000000" w:sz="8" w:space="0"/>
              <w:left w:val="single" w:color="000000" w:sz="8" w:space="0"/>
              <w:bottom w:val="single" w:color="000000" w:sz="8" w:space="0"/>
              <w:right w:val="single" w:color="000000" w:sz="8" w:space="0"/>
            </w:tcBorders>
            <w:vAlign w:val="center"/>
          </w:tcPr>
          <w:p w14:paraId="1B61B45C">
            <w:pPr>
              <w:spacing w:line="360" w:lineRule="exact"/>
              <w:jc w:val="center"/>
              <w:rPr>
                <w:rFonts w:ascii="宋体" w:eastAsia="宋体"/>
                <w:szCs w:val="21"/>
                <w:lang w:val="en-US" w:eastAsia="zh-CN"/>
              </w:rPr>
            </w:pPr>
            <w:r>
              <w:rPr>
                <w:rFonts w:hint="eastAsia" w:ascii="宋体"/>
                <w:szCs w:val="21"/>
                <w:lang w:val="en-US" w:eastAsia="zh-CN"/>
              </w:rPr>
              <w:t>5</w:t>
            </w:r>
          </w:p>
        </w:tc>
        <w:tc>
          <w:tcPr>
            <w:tcW w:w="5386" w:type="dxa"/>
            <w:tcBorders>
              <w:top w:val="single" w:color="000000" w:sz="8" w:space="0"/>
              <w:left w:val="single" w:color="000000" w:sz="8" w:space="0"/>
              <w:bottom w:val="single" w:color="000000" w:sz="8" w:space="0"/>
              <w:right w:val="single" w:color="000000" w:sz="8" w:space="0"/>
            </w:tcBorders>
          </w:tcPr>
          <w:p w14:paraId="5280FFFB">
            <w:pPr>
              <w:spacing w:line="360" w:lineRule="exact"/>
              <w:rPr>
                <w:rFonts w:ascii="宋体"/>
                <w:color w:val="auto"/>
                <w:szCs w:val="21"/>
              </w:rPr>
            </w:pPr>
            <w:r>
              <w:rPr>
                <w:rFonts w:hint="eastAsia" w:ascii="宋体"/>
                <w:color w:val="auto"/>
                <w:szCs w:val="21"/>
              </w:rPr>
              <w:t>（一）评分内容：</w:t>
            </w:r>
          </w:p>
          <w:p w14:paraId="3A7708A7">
            <w:pPr>
              <w:spacing w:line="360" w:lineRule="exact"/>
              <w:jc w:val="left"/>
              <w:rPr>
                <w:rFonts w:ascii="宋体" w:cs="仿宋"/>
                <w:color w:val="auto"/>
                <w:szCs w:val="21"/>
              </w:rPr>
            </w:pPr>
            <w:r>
              <w:rPr>
                <w:rFonts w:hint="eastAsia" w:ascii="宋体" w:cs="仿宋"/>
                <w:color w:val="auto"/>
                <w:szCs w:val="21"/>
              </w:rPr>
              <w:t>投标人</w:t>
            </w:r>
            <w:r>
              <w:rPr>
                <w:rFonts w:ascii="宋体" w:cs="仿宋"/>
                <w:color w:val="auto"/>
                <w:szCs w:val="21"/>
              </w:rPr>
              <w:t>在投标文件中详细说明</w:t>
            </w:r>
            <w:r>
              <w:rPr>
                <w:rFonts w:hint="eastAsia" w:ascii="宋体" w:cs="仿宋"/>
                <w:color w:val="auto"/>
                <w:szCs w:val="21"/>
              </w:rPr>
              <w:t>项目实施方案</w:t>
            </w:r>
            <w:r>
              <w:rPr>
                <w:rFonts w:hint="eastAsia" w:ascii="宋体" w:eastAsia="宋体"/>
                <w:color w:val="auto"/>
                <w:kern w:val="0"/>
                <w:szCs w:val="21"/>
              </w:rPr>
              <w:t>，包含以下内容：</w:t>
            </w:r>
          </w:p>
          <w:p w14:paraId="51856140">
            <w:pPr>
              <w:spacing w:line="360" w:lineRule="exact"/>
              <w:jc w:val="left"/>
              <w:rPr>
                <w:rFonts w:ascii="宋体" w:cs="仿宋"/>
                <w:color w:val="auto"/>
                <w:szCs w:val="21"/>
              </w:rPr>
            </w:pPr>
            <w:r>
              <w:rPr>
                <w:rFonts w:hint="eastAsia" w:ascii="宋体" w:cs="仿宋"/>
                <w:color w:val="auto"/>
                <w:szCs w:val="21"/>
              </w:rPr>
              <w:t>（1）质量</w:t>
            </w:r>
            <w:r>
              <w:rPr>
                <w:rFonts w:hint="eastAsia" w:ascii="宋体" w:cs="仿宋"/>
                <w:color w:val="auto"/>
                <w:szCs w:val="21"/>
                <w:lang w:eastAsia="zh-CN"/>
              </w:rPr>
              <w:t>、</w:t>
            </w:r>
            <w:r>
              <w:rPr>
                <w:rFonts w:hint="eastAsia" w:ascii="宋体" w:cs="仿宋"/>
                <w:color w:val="auto"/>
                <w:szCs w:val="21"/>
                <w:lang w:val="en-US" w:eastAsia="zh-CN"/>
              </w:rPr>
              <w:t>安全</w:t>
            </w:r>
            <w:r>
              <w:rPr>
                <w:rFonts w:hint="eastAsia" w:ascii="宋体" w:cs="仿宋"/>
                <w:color w:val="auto"/>
                <w:szCs w:val="21"/>
              </w:rPr>
              <w:t>管理体系及措施；</w:t>
            </w:r>
          </w:p>
          <w:p w14:paraId="03FC3367">
            <w:pPr>
              <w:spacing w:line="360" w:lineRule="exact"/>
              <w:jc w:val="left"/>
              <w:rPr>
                <w:rFonts w:ascii="宋体" w:cs="仿宋"/>
                <w:color w:val="auto"/>
                <w:szCs w:val="21"/>
              </w:rPr>
            </w:pPr>
            <w:r>
              <w:rPr>
                <w:rFonts w:hint="eastAsia" w:ascii="宋体" w:cs="仿宋"/>
                <w:color w:val="auto"/>
                <w:szCs w:val="21"/>
              </w:rPr>
              <w:t>（2）</w:t>
            </w:r>
            <w:r>
              <w:rPr>
                <w:rFonts w:hint="eastAsia" w:ascii="宋体" w:cs="宋体"/>
                <w:color w:val="auto"/>
                <w:szCs w:val="21"/>
              </w:rPr>
              <w:t>产品生产规范</w:t>
            </w:r>
            <w:r>
              <w:rPr>
                <w:rFonts w:hint="eastAsia" w:ascii="宋体" w:cs="仿宋"/>
                <w:color w:val="auto"/>
                <w:szCs w:val="21"/>
              </w:rPr>
              <w:t>；</w:t>
            </w:r>
          </w:p>
          <w:p w14:paraId="0E36AE50">
            <w:pPr>
              <w:spacing w:line="360" w:lineRule="exact"/>
              <w:jc w:val="left"/>
              <w:rPr>
                <w:rFonts w:ascii="宋体" w:cs="仿宋"/>
                <w:color w:val="auto"/>
                <w:szCs w:val="21"/>
              </w:rPr>
            </w:pPr>
            <w:r>
              <w:rPr>
                <w:rFonts w:hint="eastAsia" w:ascii="宋体" w:cs="仿宋"/>
                <w:color w:val="auto"/>
                <w:szCs w:val="21"/>
              </w:rPr>
              <w:t>（3）</w:t>
            </w:r>
            <w:r>
              <w:rPr>
                <w:rFonts w:hint="eastAsia" w:ascii="宋体" w:cs="宋体"/>
                <w:color w:val="auto"/>
                <w:szCs w:val="21"/>
              </w:rPr>
              <w:t>生产及供货进度计划</w:t>
            </w:r>
            <w:r>
              <w:rPr>
                <w:rFonts w:hint="eastAsia" w:ascii="宋体" w:cs="仿宋"/>
                <w:color w:val="auto"/>
                <w:szCs w:val="21"/>
              </w:rPr>
              <w:t>。</w:t>
            </w:r>
          </w:p>
          <w:p w14:paraId="05C65D67">
            <w:pPr>
              <w:autoSpaceDE w:val="0"/>
              <w:autoSpaceDN w:val="0"/>
              <w:adjustRightInd w:val="0"/>
              <w:spacing w:line="360" w:lineRule="exact"/>
              <w:jc w:val="left"/>
              <w:rPr>
                <w:rFonts w:ascii="宋体"/>
                <w:color w:val="auto"/>
                <w:kern w:val="0"/>
                <w:szCs w:val="21"/>
              </w:rPr>
            </w:pPr>
            <w:r>
              <w:rPr>
                <w:rFonts w:hint="eastAsia" w:ascii="宋体"/>
                <w:color w:val="auto"/>
                <w:kern w:val="0"/>
                <w:szCs w:val="21"/>
              </w:rPr>
              <w:t>（二）评分标准：</w:t>
            </w:r>
          </w:p>
          <w:p w14:paraId="7BD4FBBF">
            <w:pPr>
              <w:spacing w:line="360" w:lineRule="exact"/>
              <w:rPr>
                <w:rFonts w:ascii="宋体" w:eastAsia="宋体"/>
                <w:color w:val="auto"/>
                <w:szCs w:val="21"/>
              </w:rPr>
            </w:pPr>
            <w:r>
              <w:rPr>
                <w:rFonts w:hint="eastAsia" w:ascii="宋体" w:eastAsia="宋体"/>
                <w:color w:val="auto"/>
                <w:szCs w:val="21"/>
              </w:rPr>
              <w:t>方案包含以上三项内容得</w:t>
            </w:r>
            <w:r>
              <w:rPr>
                <w:rFonts w:hint="eastAsia" w:ascii="宋体" w:eastAsia="宋体"/>
                <w:color w:val="auto"/>
                <w:szCs w:val="21"/>
                <w:lang w:val="en-US" w:eastAsia="zh-CN"/>
              </w:rPr>
              <w:t>60</w:t>
            </w:r>
            <w:r>
              <w:rPr>
                <w:rFonts w:hint="eastAsia" w:ascii="宋体" w:eastAsia="宋体"/>
                <w:color w:val="auto"/>
                <w:szCs w:val="21"/>
              </w:rPr>
              <w:t>分；包含以上二项内容得</w:t>
            </w:r>
            <w:r>
              <w:rPr>
                <w:rFonts w:hint="eastAsia" w:ascii="宋体" w:eastAsia="宋体"/>
                <w:color w:val="auto"/>
                <w:szCs w:val="21"/>
                <w:lang w:val="en-US" w:eastAsia="zh-CN"/>
              </w:rPr>
              <w:t>40</w:t>
            </w:r>
            <w:r>
              <w:rPr>
                <w:rFonts w:hint="eastAsia" w:ascii="宋体" w:eastAsia="宋体"/>
                <w:color w:val="auto"/>
                <w:szCs w:val="21"/>
              </w:rPr>
              <w:t>分；包含以上一项内容得</w:t>
            </w:r>
            <w:r>
              <w:rPr>
                <w:rFonts w:hint="eastAsia" w:ascii="宋体" w:eastAsia="宋体"/>
                <w:color w:val="auto"/>
                <w:szCs w:val="21"/>
                <w:lang w:val="en-US" w:eastAsia="zh-CN"/>
              </w:rPr>
              <w:t>20</w:t>
            </w:r>
            <w:r>
              <w:rPr>
                <w:rFonts w:hint="eastAsia" w:ascii="宋体" w:eastAsia="宋体"/>
                <w:color w:val="auto"/>
                <w:szCs w:val="21"/>
              </w:rPr>
              <w:t>分；其他情况不得分。</w:t>
            </w:r>
          </w:p>
          <w:p w14:paraId="2DC3D49B">
            <w:pPr>
              <w:spacing w:line="360" w:lineRule="exact"/>
              <w:rPr>
                <w:rFonts w:ascii="宋体" w:eastAsia="宋体"/>
                <w:color w:val="auto"/>
                <w:szCs w:val="21"/>
              </w:rPr>
            </w:pPr>
            <w:r>
              <w:rPr>
                <w:rFonts w:hint="eastAsia" w:ascii="宋体" w:eastAsia="宋体"/>
                <w:color w:val="auto"/>
                <w:szCs w:val="21"/>
              </w:rPr>
              <w:t>在此基础上，根据方案响应情况进一步评审：</w:t>
            </w:r>
          </w:p>
          <w:p w14:paraId="56BAAB4E">
            <w:pPr>
              <w:spacing w:line="360" w:lineRule="exact"/>
              <w:jc w:val="left"/>
              <w:rPr>
                <w:rFonts w:ascii="宋体" w:cs="仿宋"/>
                <w:color w:val="auto"/>
                <w:szCs w:val="21"/>
              </w:rPr>
            </w:pPr>
            <w:r>
              <w:rPr>
                <w:rFonts w:hint="eastAsia" w:ascii="宋体" w:cs="仿宋"/>
                <w:color w:val="auto"/>
                <w:szCs w:val="21"/>
              </w:rPr>
              <w:t>1.质量、安全管理体系及措施内容全面、具体，</w:t>
            </w:r>
            <w:r>
              <w:rPr>
                <w:rFonts w:hint="eastAsia" w:ascii="宋体" w:cs="宋体"/>
                <w:color w:val="auto"/>
                <w:szCs w:val="21"/>
              </w:rPr>
              <w:t>产品生产规范、生产及供货进度计划</w:t>
            </w:r>
            <w:r>
              <w:rPr>
                <w:rFonts w:hint="eastAsia" w:ascii="宋体" w:cs="仿宋"/>
                <w:color w:val="auto"/>
                <w:szCs w:val="21"/>
              </w:rPr>
              <w:t>可行性高的，加</w:t>
            </w:r>
            <w:r>
              <w:rPr>
                <w:rFonts w:hint="eastAsia" w:ascii="宋体" w:cs="仿宋"/>
                <w:color w:val="auto"/>
                <w:szCs w:val="21"/>
                <w:lang w:val="en-US" w:eastAsia="zh-CN"/>
              </w:rPr>
              <w:t>40</w:t>
            </w:r>
            <w:r>
              <w:rPr>
                <w:rFonts w:hint="eastAsia" w:ascii="宋体" w:cs="仿宋"/>
                <w:color w:val="auto"/>
                <w:szCs w:val="21"/>
              </w:rPr>
              <w:t>分；</w:t>
            </w:r>
          </w:p>
          <w:p w14:paraId="23FCF000">
            <w:pPr>
              <w:spacing w:line="360" w:lineRule="exact"/>
              <w:jc w:val="left"/>
              <w:rPr>
                <w:rFonts w:ascii="宋体" w:cs="仿宋"/>
                <w:color w:val="auto"/>
                <w:szCs w:val="21"/>
              </w:rPr>
            </w:pPr>
            <w:r>
              <w:rPr>
                <w:rFonts w:hint="eastAsia" w:ascii="宋体" w:cs="仿宋"/>
                <w:color w:val="auto"/>
                <w:szCs w:val="21"/>
              </w:rPr>
              <w:t>2.质量</w:t>
            </w:r>
            <w:r>
              <w:rPr>
                <w:rFonts w:hint="eastAsia" w:ascii="宋体" w:cs="仿宋"/>
                <w:color w:val="auto"/>
                <w:szCs w:val="21"/>
                <w:lang w:eastAsia="zh-CN"/>
              </w:rPr>
              <w:t>、</w:t>
            </w:r>
            <w:r>
              <w:rPr>
                <w:rFonts w:hint="eastAsia" w:ascii="宋体" w:cs="仿宋"/>
                <w:color w:val="auto"/>
                <w:szCs w:val="21"/>
                <w:lang w:val="en-US" w:eastAsia="zh-CN"/>
              </w:rPr>
              <w:t>安全</w:t>
            </w:r>
            <w:r>
              <w:rPr>
                <w:rFonts w:hint="eastAsia" w:ascii="宋体" w:cs="仿宋"/>
                <w:color w:val="auto"/>
                <w:szCs w:val="21"/>
              </w:rPr>
              <w:t>管理体系及措施内容较全面，</w:t>
            </w:r>
            <w:r>
              <w:rPr>
                <w:rFonts w:hint="eastAsia" w:ascii="宋体" w:cs="宋体"/>
                <w:color w:val="auto"/>
                <w:szCs w:val="21"/>
              </w:rPr>
              <w:t>产品生产规范、生产及供货进度计划</w:t>
            </w:r>
            <w:r>
              <w:rPr>
                <w:rFonts w:hint="eastAsia" w:ascii="宋体" w:cs="仿宋"/>
                <w:color w:val="auto"/>
                <w:szCs w:val="21"/>
              </w:rPr>
              <w:t>可行性较高的，加</w:t>
            </w:r>
            <w:r>
              <w:rPr>
                <w:rFonts w:hint="eastAsia" w:ascii="宋体" w:cs="仿宋"/>
                <w:color w:val="auto"/>
                <w:szCs w:val="21"/>
                <w:lang w:val="en-US" w:eastAsia="zh-CN"/>
              </w:rPr>
              <w:t>20</w:t>
            </w:r>
            <w:r>
              <w:rPr>
                <w:rFonts w:hint="eastAsia" w:ascii="宋体" w:cs="仿宋"/>
                <w:color w:val="auto"/>
                <w:szCs w:val="21"/>
              </w:rPr>
              <w:t>分；</w:t>
            </w:r>
          </w:p>
          <w:p w14:paraId="2AFA0A96">
            <w:pPr>
              <w:spacing w:line="360" w:lineRule="exact"/>
              <w:jc w:val="left"/>
              <w:rPr>
                <w:rFonts w:ascii="宋体" w:cs="仿宋"/>
                <w:color w:val="auto"/>
                <w:szCs w:val="21"/>
              </w:rPr>
            </w:pPr>
            <w:r>
              <w:rPr>
                <w:rFonts w:hint="eastAsia" w:ascii="宋体" w:cs="仿宋"/>
                <w:color w:val="auto"/>
                <w:szCs w:val="21"/>
              </w:rPr>
              <w:t>3.质量</w:t>
            </w:r>
            <w:r>
              <w:rPr>
                <w:rFonts w:hint="eastAsia" w:ascii="宋体" w:cs="仿宋"/>
                <w:color w:val="auto"/>
                <w:szCs w:val="21"/>
                <w:lang w:eastAsia="zh-CN"/>
              </w:rPr>
              <w:t>、</w:t>
            </w:r>
            <w:r>
              <w:rPr>
                <w:rFonts w:hint="eastAsia" w:ascii="宋体" w:cs="仿宋"/>
                <w:color w:val="auto"/>
                <w:szCs w:val="21"/>
                <w:lang w:val="en-US" w:eastAsia="zh-CN"/>
              </w:rPr>
              <w:t>安全</w:t>
            </w:r>
            <w:r>
              <w:rPr>
                <w:rFonts w:hint="eastAsia" w:ascii="宋体" w:cs="仿宋"/>
                <w:color w:val="auto"/>
                <w:szCs w:val="21"/>
              </w:rPr>
              <w:t>管理体系及措施内容不够全面，</w:t>
            </w:r>
            <w:r>
              <w:rPr>
                <w:rFonts w:hint="eastAsia" w:ascii="宋体" w:cs="宋体"/>
                <w:color w:val="auto"/>
                <w:szCs w:val="21"/>
              </w:rPr>
              <w:t>产品生产规范、生产及供货进度计划</w:t>
            </w:r>
            <w:r>
              <w:rPr>
                <w:rFonts w:hint="eastAsia" w:ascii="宋体" w:cs="仿宋"/>
                <w:color w:val="auto"/>
                <w:szCs w:val="21"/>
              </w:rPr>
              <w:t>可行性一般的，加10分；</w:t>
            </w:r>
          </w:p>
          <w:p w14:paraId="0C681988">
            <w:pPr>
              <w:spacing w:line="360" w:lineRule="exact"/>
              <w:jc w:val="left"/>
            </w:pPr>
            <w:r>
              <w:rPr>
                <w:rFonts w:hint="eastAsia" w:ascii="宋体" w:cs="仿宋"/>
                <w:color w:val="auto"/>
                <w:szCs w:val="21"/>
              </w:rPr>
              <w:t>4.质量</w:t>
            </w:r>
            <w:r>
              <w:rPr>
                <w:rFonts w:hint="eastAsia" w:ascii="宋体" w:cs="仿宋"/>
                <w:color w:val="auto"/>
                <w:szCs w:val="21"/>
                <w:lang w:eastAsia="zh-CN"/>
              </w:rPr>
              <w:t>、</w:t>
            </w:r>
            <w:r>
              <w:rPr>
                <w:rFonts w:hint="eastAsia" w:ascii="宋体" w:cs="仿宋"/>
                <w:color w:val="auto"/>
                <w:szCs w:val="21"/>
                <w:lang w:val="en-US" w:eastAsia="zh-CN"/>
              </w:rPr>
              <w:t>安全</w:t>
            </w:r>
            <w:r>
              <w:rPr>
                <w:rFonts w:hint="eastAsia" w:ascii="宋体" w:cs="仿宋"/>
                <w:color w:val="auto"/>
                <w:szCs w:val="21"/>
              </w:rPr>
              <w:t>管理体系及措施内容不全面，</w:t>
            </w:r>
            <w:r>
              <w:rPr>
                <w:rFonts w:hint="eastAsia" w:ascii="宋体" w:cs="宋体"/>
                <w:color w:val="auto"/>
                <w:szCs w:val="21"/>
              </w:rPr>
              <w:t>产品生产规范、生产及供货进度计划</w:t>
            </w:r>
            <w:r>
              <w:rPr>
                <w:rFonts w:hint="eastAsia" w:ascii="宋体" w:cs="仿宋"/>
                <w:color w:val="auto"/>
                <w:szCs w:val="21"/>
              </w:rPr>
              <w:t>可行性低的，不加分</w:t>
            </w:r>
            <w:r>
              <w:rPr>
                <w:rFonts w:hint="eastAsia" w:ascii="宋体" w:eastAsia="宋体"/>
                <w:color w:val="auto"/>
                <w:szCs w:val="21"/>
              </w:rPr>
              <w:t>。</w:t>
            </w:r>
          </w:p>
        </w:tc>
      </w:tr>
      <w:tr w14:paraId="601F51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tcPr>
          <w:p w14:paraId="28757AA5">
            <w:pPr>
              <w:spacing w:line="360" w:lineRule="exact"/>
              <w:rPr>
                <w:rFonts w:ascii="宋体" w:eastAsia="宋体" w:cs="宋体"/>
                <w:b/>
                <w:bCs/>
                <w:color w:val="0000FF"/>
                <w:sz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4BD1929">
            <w:pPr>
              <w:spacing w:line="360" w:lineRule="exact"/>
              <w:jc w:val="center"/>
              <w:rPr>
                <w:rFonts w:ascii="宋体" w:eastAsia="宋体"/>
                <w:szCs w:val="21"/>
              </w:rPr>
            </w:pPr>
            <w:r>
              <w:rPr>
                <w:rFonts w:hint="eastAsia" w:ascii="宋体" w:eastAsia="宋体"/>
                <w:szCs w:val="21"/>
              </w:rPr>
              <w:t>4</w:t>
            </w:r>
          </w:p>
        </w:tc>
        <w:tc>
          <w:tcPr>
            <w:tcW w:w="2116" w:type="dxa"/>
            <w:tcBorders>
              <w:top w:val="single" w:color="000000" w:sz="8" w:space="0"/>
              <w:left w:val="single" w:color="000000" w:sz="8" w:space="0"/>
              <w:bottom w:val="single" w:color="000000" w:sz="8" w:space="0"/>
              <w:right w:val="single" w:color="000000" w:sz="8" w:space="0"/>
            </w:tcBorders>
            <w:vAlign w:val="center"/>
          </w:tcPr>
          <w:p w14:paraId="3E1DDEA8">
            <w:pPr>
              <w:spacing w:line="360" w:lineRule="exact"/>
              <w:jc w:val="center"/>
              <w:rPr>
                <w:rFonts w:hint="eastAsia" w:ascii="宋体" w:eastAsia="宋体"/>
                <w:szCs w:val="21"/>
                <w:lang w:val="en-US" w:eastAsia="zh-CN"/>
              </w:rPr>
            </w:pPr>
            <w:r>
              <w:rPr>
                <w:rFonts w:hint="eastAsia" w:ascii="宋体" w:eastAsia="宋体"/>
                <w:szCs w:val="21"/>
              </w:rPr>
              <w:t>拟投入设备</w:t>
            </w:r>
            <w:r>
              <w:rPr>
                <w:rFonts w:hint="eastAsia" w:ascii="宋体"/>
                <w:szCs w:val="21"/>
                <w:lang w:val="en-US" w:eastAsia="zh-CN"/>
              </w:rPr>
              <w:t>情况</w:t>
            </w:r>
          </w:p>
        </w:tc>
        <w:tc>
          <w:tcPr>
            <w:tcW w:w="637" w:type="dxa"/>
            <w:tcBorders>
              <w:top w:val="single" w:color="000000" w:sz="8" w:space="0"/>
              <w:left w:val="single" w:color="000000" w:sz="8" w:space="0"/>
              <w:bottom w:val="single" w:color="000000" w:sz="8" w:space="0"/>
              <w:right w:val="single" w:color="000000" w:sz="8" w:space="0"/>
            </w:tcBorders>
            <w:vAlign w:val="center"/>
          </w:tcPr>
          <w:p w14:paraId="0E53B16C">
            <w:pPr>
              <w:spacing w:line="360" w:lineRule="exact"/>
              <w:jc w:val="center"/>
              <w:rPr>
                <w:rFonts w:ascii="宋体" w:eastAsia="宋体"/>
                <w:szCs w:val="21"/>
              </w:rPr>
            </w:pPr>
            <w:r>
              <w:rPr>
                <w:rFonts w:hint="eastAsia" w:ascii="宋体" w:eastAsia="宋体"/>
                <w:szCs w:val="21"/>
              </w:rPr>
              <w:t>5</w:t>
            </w:r>
          </w:p>
        </w:tc>
        <w:tc>
          <w:tcPr>
            <w:tcW w:w="5386" w:type="dxa"/>
            <w:tcBorders>
              <w:top w:val="single" w:color="000000" w:sz="8" w:space="0"/>
              <w:left w:val="single" w:color="000000" w:sz="8" w:space="0"/>
              <w:bottom w:val="single" w:color="000000" w:sz="8" w:space="0"/>
              <w:right w:val="single" w:color="000000" w:sz="8" w:space="0"/>
            </w:tcBorders>
          </w:tcPr>
          <w:p w14:paraId="554F6BD1">
            <w:pPr>
              <w:spacing w:line="360" w:lineRule="exact"/>
              <w:rPr>
                <w:rFonts w:hint="eastAsia" w:ascii="宋体" w:eastAsia="宋体"/>
                <w:color w:val="auto"/>
                <w:szCs w:val="21"/>
                <w:lang w:val="en-US" w:eastAsia="zh-CN"/>
              </w:rPr>
            </w:pPr>
            <w:r>
              <w:rPr>
                <w:rFonts w:hint="eastAsia" w:ascii="宋体" w:eastAsia="宋体"/>
                <w:color w:val="auto"/>
                <w:szCs w:val="21"/>
                <w:lang w:val="en-US" w:eastAsia="zh-CN"/>
              </w:rPr>
              <w:t>（一）评分内容：</w:t>
            </w:r>
          </w:p>
          <w:p w14:paraId="3428354A">
            <w:pPr>
              <w:spacing w:line="360" w:lineRule="exact"/>
              <w:rPr>
                <w:rFonts w:hint="eastAsia" w:ascii="宋体" w:eastAsia="宋体"/>
                <w:color w:val="auto"/>
                <w:szCs w:val="21"/>
                <w:lang w:val="en-US" w:eastAsia="zh-CN"/>
              </w:rPr>
            </w:pPr>
            <w:r>
              <w:rPr>
                <w:rFonts w:hint="eastAsia" w:ascii="宋体" w:eastAsia="宋体"/>
                <w:color w:val="auto"/>
                <w:szCs w:val="21"/>
                <w:lang w:val="en-US" w:eastAsia="zh-CN"/>
              </w:rPr>
              <w:t>1.投标人</w:t>
            </w:r>
            <w:r>
              <w:rPr>
                <w:rFonts w:hint="eastAsia"/>
                <w:lang w:val="en-US" w:eastAsia="zh-CN"/>
              </w:rPr>
              <w:t>或</w:t>
            </w:r>
            <w:r>
              <w:rPr>
                <w:rFonts w:hint="eastAsia" w:ascii="宋体" w:eastAsia="宋体"/>
                <w:szCs w:val="21"/>
              </w:rPr>
              <w:t>任一项投标产品制造商</w:t>
            </w:r>
            <w:r>
              <w:rPr>
                <w:rFonts w:hint="eastAsia" w:ascii="宋体" w:eastAsia="宋体"/>
                <w:color w:val="auto"/>
                <w:szCs w:val="21"/>
                <w:lang w:val="en-US" w:eastAsia="zh-CN"/>
              </w:rPr>
              <w:t>具有物理性能检测的万能材料试验机、拉力试验机、硬度计、高精度激光测距仪、三维测量仪、涂层测厚仪、钢结构或焊接件无损检测的超声波探伤仪、磁粉探伤仪，每提供1类设备得5分，本小项最高得40分。</w:t>
            </w:r>
          </w:p>
          <w:p w14:paraId="5648FF0D">
            <w:pPr>
              <w:spacing w:line="360" w:lineRule="exact"/>
              <w:rPr>
                <w:rFonts w:hint="eastAsia" w:ascii="宋体" w:eastAsia="宋体"/>
                <w:color w:val="auto"/>
                <w:szCs w:val="21"/>
                <w:lang w:val="en-US" w:eastAsia="zh-CN"/>
              </w:rPr>
            </w:pPr>
            <w:r>
              <w:rPr>
                <w:rFonts w:hint="eastAsia" w:ascii="宋体" w:eastAsia="宋体"/>
                <w:color w:val="auto"/>
                <w:szCs w:val="21"/>
                <w:lang w:val="en-US" w:eastAsia="zh-CN"/>
              </w:rPr>
              <w:t>2.投标人</w:t>
            </w:r>
            <w:r>
              <w:rPr>
                <w:rFonts w:hint="eastAsia"/>
                <w:lang w:val="en-US" w:eastAsia="zh-CN"/>
              </w:rPr>
              <w:t>或</w:t>
            </w:r>
            <w:r>
              <w:rPr>
                <w:rFonts w:hint="eastAsia" w:ascii="宋体" w:eastAsia="宋体"/>
                <w:szCs w:val="21"/>
              </w:rPr>
              <w:t>任一项投标产品制造商</w:t>
            </w:r>
            <w:r>
              <w:rPr>
                <w:rFonts w:hint="eastAsia" w:ascii="宋体" w:eastAsia="宋体"/>
                <w:color w:val="auto"/>
                <w:szCs w:val="21"/>
                <w:lang w:val="en-US" w:eastAsia="zh-CN"/>
              </w:rPr>
              <w:t>具有自动化生产线、数控加工中心，每提供1类得10分，本小项最高得20分。</w:t>
            </w:r>
          </w:p>
          <w:p w14:paraId="5E7C386A">
            <w:pPr>
              <w:spacing w:line="360" w:lineRule="exact"/>
              <w:rPr>
                <w:rFonts w:hint="eastAsia" w:ascii="宋体" w:eastAsia="宋体"/>
                <w:color w:val="auto"/>
                <w:szCs w:val="21"/>
                <w:lang w:val="en-US" w:eastAsia="zh-CN"/>
              </w:rPr>
            </w:pPr>
            <w:r>
              <w:rPr>
                <w:rFonts w:hint="eastAsia" w:ascii="宋体" w:eastAsia="宋体"/>
                <w:color w:val="auto"/>
                <w:szCs w:val="21"/>
                <w:lang w:val="en-US" w:eastAsia="zh-CN"/>
              </w:rPr>
              <w:t>3.投标人具有一体化生产加工设备（包含钢材切割、构件成型、焊接核心、装配及吊装、涂装、检测检验）的得20分，本小项最高得20分。</w:t>
            </w:r>
          </w:p>
          <w:p w14:paraId="6CFFE244">
            <w:pPr>
              <w:spacing w:line="360" w:lineRule="exact"/>
              <w:rPr>
                <w:rFonts w:hint="eastAsia" w:ascii="宋体" w:eastAsia="宋体"/>
                <w:color w:val="auto"/>
                <w:szCs w:val="21"/>
                <w:lang w:val="en-US" w:eastAsia="zh-CN"/>
              </w:rPr>
            </w:pPr>
            <w:r>
              <w:rPr>
                <w:rFonts w:hint="eastAsia" w:ascii="宋体" w:eastAsia="宋体"/>
                <w:color w:val="auto"/>
                <w:szCs w:val="21"/>
                <w:lang w:val="en-US" w:eastAsia="zh-CN"/>
              </w:rPr>
              <w:t>4.投标人</w:t>
            </w:r>
            <w:r>
              <w:rPr>
                <w:rFonts w:hint="eastAsia"/>
                <w:lang w:val="en-US" w:eastAsia="zh-CN"/>
              </w:rPr>
              <w:t>或</w:t>
            </w:r>
            <w:r>
              <w:rPr>
                <w:rFonts w:hint="eastAsia" w:ascii="宋体" w:eastAsia="宋体"/>
                <w:szCs w:val="21"/>
              </w:rPr>
              <w:t>任一项投标产品制造商</w:t>
            </w:r>
            <w:r>
              <w:rPr>
                <w:rFonts w:hint="eastAsia" w:ascii="宋体" w:eastAsia="宋体"/>
                <w:color w:val="auto"/>
                <w:szCs w:val="21"/>
                <w:lang w:val="en-US" w:eastAsia="zh-CN"/>
              </w:rPr>
              <w:t>具有不少于100T移动式抱船机的起吊设备的得20分，本小项最高得20分。</w:t>
            </w:r>
          </w:p>
          <w:p w14:paraId="5ACF18FA">
            <w:pPr>
              <w:spacing w:line="360" w:lineRule="exact"/>
              <w:rPr>
                <w:rFonts w:hint="eastAsia" w:ascii="宋体" w:eastAsia="宋体"/>
                <w:color w:val="auto"/>
                <w:szCs w:val="21"/>
                <w:lang w:val="en-US" w:eastAsia="zh-CN"/>
              </w:rPr>
            </w:pPr>
            <w:r>
              <w:rPr>
                <w:rFonts w:hint="eastAsia" w:ascii="宋体" w:eastAsia="宋体"/>
                <w:color w:val="auto"/>
                <w:szCs w:val="21"/>
                <w:lang w:val="en-US" w:eastAsia="zh-CN"/>
              </w:rPr>
              <w:t>以上累计最高得100分。</w:t>
            </w:r>
          </w:p>
          <w:p w14:paraId="661A5053">
            <w:pPr>
              <w:spacing w:line="360" w:lineRule="exact"/>
              <w:rPr>
                <w:rFonts w:hint="eastAsia" w:ascii="宋体" w:eastAsia="宋体"/>
                <w:color w:val="auto"/>
                <w:szCs w:val="21"/>
                <w:lang w:val="en-US" w:eastAsia="zh-CN"/>
              </w:rPr>
            </w:pPr>
            <w:r>
              <w:rPr>
                <w:rFonts w:hint="eastAsia" w:ascii="宋体" w:eastAsia="宋体"/>
                <w:color w:val="auto"/>
                <w:szCs w:val="21"/>
                <w:lang w:val="en-US" w:eastAsia="zh-CN"/>
              </w:rPr>
              <w:t>（二）评分标准：</w:t>
            </w:r>
          </w:p>
          <w:p w14:paraId="6D9A6F60">
            <w:pPr>
              <w:spacing w:line="360" w:lineRule="exact"/>
              <w:rPr>
                <w:rFonts w:ascii="宋体" w:eastAsia="宋体"/>
                <w:szCs w:val="21"/>
              </w:rPr>
            </w:pPr>
            <w:r>
              <w:rPr>
                <w:rFonts w:hint="eastAsia" w:ascii="宋体" w:eastAsia="宋体"/>
                <w:color w:val="auto"/>
                <w:szCs w:val="21"/>
                <w:lang w:val="en-US" w:eastAsia="zh-CN"/>
              </w:rPr>
              <w:t>设备为供应商自有的，提供①设备照片</w:t>
            </w:r>
            <w:r>
              <w:rPr>
                <w:rFonts w:hint="eastAsia" w:ascii="宋体"/>
                <w:color w:val="auto"/>
                <w:szCs w:val="21"/>
                <w:lang w:val="en-US" w:eastAsia="zh-CN"/>
              </w:rPr>
              <w:t>、</w:t>
            </w:r>
            <w:r>
              <w:rPr>
                <w:rFonts w:hint="eastAsia" w:ascii="宋体" w:eastAsia="宋体"/>
                <w:color w:val="auto"/>
                <w:szCs w:val="21"/>
                <w:lang w:val="en-US" w:eastAsia="zh-CN"/>
              </w:rPr>
              <w:t>②购置发票证明（或产权证明）文件为评审依据，两项缺一不可；设备为供应商租赁的，需提供①设备照片、②租赁合同证明为评审依据，两项缺一不可。以上证明文件均提供扫描件，原件备查。未按要求提供有效证明材料或提供不清晰导致评委无法识别的不计得分。</w:t>
            </w:r>
          </w:p>
        </w:tc>
      </w:tr>
      <w:tr w14:paraId="22CC90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single" w:color="000000" w:sz="8" w:space="0"/>
              <w:right w:val="single" w:color="000000" w:sz="8" w:space="0"/>
            </w:tcBorders>
          </w:tcPr>
          <w:p w14:paraId="43D90C1B">
            <w:pPr>
              <w:spacing w:line="360" w:lineRule="exact"/>
              <w:rPr>
                <w:rFonts w:ascii="宋体" w:eastAsia="宋体" w:cs="宋体"/>
                <w:b/>
                <w:bCs/>
                <w:color w:val="0000FF"/>
                <w:sz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636FEC3">
            <w:pPr>
              <w:spacing w:line="360" w:lineRule="exact"/>
              <w:jc w:val="center"/>
              <w:rPr>
                <w:rFonts w:hint="eastAsia" w:ascii="宋体" w:eastAsia="宋体"/>
                <w:color w:val="000000"/>
                <w:szCs w:val="21"/>
                <w:lang w:eastAsia="zh-CN"/>
              </w:rPr>
            </w:pPr>
            <w:r>
              <w:rPr>
                <w:rFonts w:hint="eastAsia" w:ascii="宋体"/>
                <w:color w:val="000000"/>
                <w:szCs w:val="21"/>
                <w:lang w:val="en-US" w:eastAsia="zh-CN"/>
              </w:rPr>
              <w:t>5</w:t>
            </w:r>
          </w:p>
        </w:tc>
        <w:tc>
          <w:tcPr>
            <w:tcW w:w="2116" w:type="dxa"/>
            <w:tcBorders>
              <w:top w:val="single" w:color="000000" w:sz="8" w:space="0"/>
              <w:left w:val="single" w:color="000000" w:sz="8" w:space="0"/>
              <w:bottom w:val="single" w:color="000000" w:sz="8" w:space="0"/>
              <w:right w:val="single" w:color="000000" w:sz="8" w:space="0"/>
            </w:tcBorders>
            <w:vAlign w:val="center"/>
          </w:tcPr>
          <w:p w14:paraId="030A7AC8">
            <w:pPr>
              <w:spacing w:line="360" w:lineRule="exact"/>
              <w:jc w:val="center"/>
              <w:rPr>
                <w:rFonts w:ascii="宋体" w:eastAsia="宋体"/>
                <w:color w:val="000000"/>
                <w:szCs w:val="21"/>
              </w:rPr>
            </w:pPr>
            <w:r>
              <w:rPr>
                <w:rFonts w:hint="eastAsia" w:ascii="宋体" w:eastAsia="宋体"/>
                <w:color w:val="000000"/>
                <w:szCs w:val="21"/>
              </w:rPr>
              <w:t>售后服务方案</w:t>
            </w:r>
          </w:p>
        </w:tc>
        <w:tc>
          <w:tcPr>
            <w:tcW w:w="637" w:type="dxa"/>
            <w:tcBorders>
              <w:top w:val="single" w:color="000000" w:sz="8" w:space="0"/>
              <w:left w:val="single" w:color="000000" w:sz="8" w:space="0"/>
              <w:bottom w:val="single" w:color="000000" w:sz="8" w:space="0"/>
              <w:right w:val="single" w:color="000000" w:sz="8" w:space="0"/>
            </w:tcBorders>
            <w:vAlign w:val="center"/>
          </w:tcPr>
          <w:p w14:paraId="365C5A41">
            <w:pPr>
              <w:spacing w:line="360" w:lineRule="exact"/>
              <w:jc w:val="center"/>
              <w:rPr>
                <w:rFonts w:hint="eastAsia" w:ascii="宋体" w:eastAsia="宋体"/>
                <w:color w:val="000000"/>
                <w:szCs w:val="21"/>
                <w:lang w:val="en-US" w:eastAsia="zh-CN"/>
              </w:rPr>
            </w:pPr>
            <w:r>
              <w:rPr>
                <w:rFonts w:hint="eastAsia" w:ascii="宋体"/>
                <w:color w:val="000000"/>
                <w:szCs w:val="21"/>
                <w:lang w:val="en-US" w:eastAsia="zh-CN"/>
              </w:rPr>
              <w:t>5</w:t>
            </w:r>
          </w:p>
        </w:tc>
        <w:tc>
          <w:tcPr>
            <w:tcW w:w="5386" w:type="dxa"/>
            <w:tcBorders>
              <w:top w:val="single" w:color="000000" w:sz="8" w:space="0"/>
              <w:left w:val="single" w:color="000000" w:sz="8" w:space="0"/>
              <w:bottom w:val="single" w:color="000000" w:sz="8" w:space="0"/>
              <w:right w:val="single" w:color="000000" w:sz="8" w:space="0"/>
            </w:tcBorders>
          </w:tcPr>
          <w:p w14:paraId="20BA60ED">
            <w:pPr>
              <w:pStyle w:val="163"/>
              <w:spacing w:line="360" w:lineRule="exact"/>
              <w:ind w:firstLine="0" w:firstLineChars="0"/>
              <w:rPr>
                <w:rFonts w:ascii="宋体"/>
                <w:color w:val="000000"/>
                <w:szCs w:val="21"/>
              </w:rPr>
            </w:pPr>
            <w:r>
              <w:rPr>
                <w:rFonts w:hint="eastAsia" w:ascii="宋体"/>
                <w:color w:val="000000"/>
                <w:szCs w:val="21"/>
              </w:rPr>
              <w:t>（一）评分内容：</w:t>
            </w:r>
          </w:p>
          <w:p w14:paraId="04367735">
            <w:pPr>
              <w:spacing w:line="360" w:lineRule="exact"/>
              <w:jc w:val="left"/>
              <w:rPr>
                <w:rFonts w:ascii="宋体" w:cs="仿宋"/>
                <w:color w:val="000000"/>
                <w:szCs w:val="21"/>
              </w:rPr>
            </w:pPr>
            <w:r>
              <w:rPr>
                <w:rFonts w:hint="eastAsia" w:ascii="宋体" w:cs="仿宋"/>
                <w:color w:val="000000"/>
                <w:szCs w:val="21"/>
              </w:rPr>
              <w:t>投标人提供</w:t>
            </w:r>
            <w:r>
              <w:rPr>
                <w:rFonts w:hint="eastAsia"/>
                <w:color w:val="000000"/>
              </w:rPr>
              <w:t>售后服务方案</w:t>
            </w:r>
            <w:r>
              <w:rPr>
                <w:rFonts w:hint="eastAsia" w:ascii="宋体" w:eastAsia="宋体"/>
                <w:color w:val="000000"/>
                <w:kern w:val="0"/>
                <w:szCs w:val="21"/>
              </w:rPr>
              <w:t>，包含以下内容：</w:t>
            </w:r>
          </w:p>
          <w:p w14:paraId="525775A4">
            <w:pPr>
              <w:widowControl/>
              <w:spacing w:line="360" w:lineRule="exact"/>
              <w:rPr>
                <w:rFonts w:ascii="宋体" w:cs="仿宋"/>
                <w:color w:val="000000"/>
                <w:szCs w:val="21"/>
              </w:rPr>
            </w:pPr>
            <w:r>
              <w:rPr>
                <w:rFonts w:hint="eastAsia" w:ascii="宋体" w:cs="仿宋"/>
                <w:color w:val="000000"/>
                <w:szCs w:val="21"/>
              </w:rPr>
              <w:t>（1）</w:t>
            </w:r>
            <w:r>
              <w:rPr>
                <w:rFonts w:hint="eastAsia" w:ascii="宋体" w:eastAsia="宋体"/>
                <w:color w:val="000000"/>
                <w:szCs w:val="21"/>
              </w:rPr>
              <w:t>售后服务承诺</w:t>
            </w:r>
            <w:r>
              <w:rPr>
                <w:rFonts w:hint="eastAsia" w:ascii="宋体" w:cs="仿宋"/>
                <w:color w:val="000000"/>
                <w:szCs w:val="21"/>
              </w:rPr>
              <w:t>；</w:t>
            </w:r>
          </w:p>
          <w:p w14:paraId="5D1CFBD1">
            <w:pPr>
              <w:widowControl/>
              <w:spacing w:line="360" w:lineRule="exact"/>
              <w:rPr>
                <w:rFonts w:ascii="宋体" w:cs="仿宋"/>
                <w:color w:val="000000"/>
                <w:szCs w:val="21"/>
              </w:rPr>
            </w:pPr>
            <w:r>
              <w:rPr>
                <w:rFonts w:hint="eastAsia" w:ascii="宋体" w:cs="仿宋"/>
                <w:color w:val="000000"/>
                <w:szCs w:val="21"/>
              </w:rPr>
              <w:t>（2）</w:t>
            </w:r>
            <w:r>
              <w:rPr>
                <w:rFonts w:hint="eastAsia" w:ascii="宋体" w:eastAsia="宋体"/>
                <w:color w:val="000000"/>
                <w:szCs w:val="21"/>
              </w:rPr>
              <w:t>应急措施</w:t>
            </w:r>
            <w:r>
              <w:rPr>
                <w:rFonts w:hint="eastAsia" w:ascii="宋体" w:cs="仿宋"/>
                <w:color w:val="000000"/>
                <w:szCs w:val="21"/>
              </w:rPr>
              <w:t>；</w:t>
            </w:r>
          </w:p>
          <w:p w14:paraId="3103FEA8">
            <w:pPr>
              <w:widowControl/>
              <w:spacing w:line="360" w:lineRule="exact"/>
              <w:rPr>
                <w:rFonts w:ascii="宋体" w:cs="仿宋"/>
                <w:color w:val="000000"/>
                <w:szCs w:val="21"/>
              </w:rPr>
            </w:pPr>
            <w:r>
              <w:rPr>
                <w:rFonts w:hint="eastAsia" w:ascii="宋体" w:cs="仿宋"/>
                <w:color w:val="000000"/>
                <w:szCs w:val="21"/>
              </w:rPr>
              <w:t>（3）</w:t>
            </w:r>
            <w:r>
              <w:rPr>
                <w:rFonts w:hint="eastAsia" w:ascii="宋体" w:eastAsia="宋体"/>
                <w:color w:val="000000"/>
                <w:szCs w:val="21"/>
              </w:rPr>
              <w:t>培训方案</w:t>
            </w:r>
            <w:r>
              <w:rPr>
                <w:rFonts w:hint="eastAsia" w:ascii="宋体" w:cs="仿宋"/>
                <w:color w:val="000000"/>
                <w:szCs w:val="21"/>
              </w:rPr>
              <w:t>；</w:t>
            </w:r>
          </w:p>
          <w:p w14:paraId="772F6357">
            <w:pPr>
              <w:autoSpaceDE w:val="0"/>
              <w:autoSpaceDN w:val="0"/>
              <w:adjustRightInd w:val="0"/>
              <w:spacing w:line="360" w:lineRule="exact"/>
              <w:jc w:val="left"/>
              <w:rPr>
                <w:rFonts w:hint="eastAsia" w:ascii="宋体" w:eastAsia="宋体" w:cs="仿宋"/>
                <w:color w:val="000000"/>
                <w:szCs w:val="21"/>
                <w:lang w:eastAsia="zh-CN"/>
              </w:rPr>
            </w:pPr>
            <w:r>
              <w:rPr>
                <w:rFonts w:hint="eastAsia" w:ascii="宋体"/>
                <w:color w:val="000000"/>
                <w:kern w:val="0"/>
                <w:szCs w:val="21"/>
                <w:lang w:eastAsia="zh-CN"/>
              </w:rPr>
              <w:t>（</w:t>
            </w:r>
            <w:r>
              <w:rPr>
                <w:rFonts w:hint="eastAsia" w:ascii="宋体"/>
                <w:color w:val="000000"/>
                <w:kern w:val="0"/>
                <w:szCs w:val="21"/>
                <w:lang w:val="en-US" w:eastAsia="zh-CN"/>
              </w:rPr>
              <w:t>4</w:t>
            </w:r>
            <w:r>
              <w:rPr>
                <w:rFonts w:hint="eastAsia" w:ascii="宋体"/>
                <w:color w:val="000000"/>
                <w:kern w:val="0"/>
                <w:szCs w:val="21"/>
                <w:lang w:eastAsia="zh-CN"/>
              </w:rPr>
              <w:t>）</w:t>
            </w:r>
            <w:r>
              <w:rPr>
                <w:rFonts w:hint="eastAsia" w:ascii="宋体" w:cs="仿宋"/>
                <w:color w:val="000000"/>
                <w:szCs w:val="21"/>
              </w:rPr>
              <w:t>售后服务机构及维护人员配置</w:t>
            </w:r>
            <w:r>
              <w:rPr>
                <w:rFonts w:hint="eastAsia" w:ascii="宋体" w:cs="仿宋"/>
                <w:color w:val="000000"/>
                <w:szCs w:val="21"/>
                <w:lang w:eastAsia="zh-CN"/>
              </w:rPr>
              <w:t>。</w:t>
            </w:r>
          </w:p>
          <w:p w14:paraId="3578EAE6">
            <w:pPr>
              <w:autoSpaceDE w:val="0"/>
              <w:autoSpaceDN w:val="0"/>
              <w:adjustRightInd w:val="0"/>
              <w:spacing w:line="360" w:lineRule="exact"/>
              <w:jc w:val="left"/>
              <w:rPr>
                <w:rFonts w:ascii="宋体"/>
                <w:color w:val="000000"/>
                <w:kern w:val="0"/>
                <w:szCs w:val="21"/>
              </w:rPr>
            </w:pPr>
            <w:r>
              <w:rPr>
                <w:rFonts w:hint="eastAsia" w:ascii="宋体"/>
                <w:color w:val="000000"/>
                <w:kern w:val="0"/>
                <w:szCs w:val="21"/>
              </w:rPr>
              <w:t>（二）评分标准：</w:t>
            </w:r>
          </w:p>
          <w:p w14:paraId="3BC82AA1">
            <w:pPr>
              <w:spacing w:line="360" w:lineRule="exact"/>
              <w:jc w:val="left"/>
              <w:rPr>
                <w:rFonts w:ascii="宋体" w:cs="仿宋"/>
                <w:color w:val="000000"/>
                <w:szCs w:val="21"/>
              </w:rPr>
            </w:pPr>
            <w:r>
              <w:rPr>
                <w:rFonts w:hint="eastAsia" w:ascii="宋体" w:cs="仿宋"/>
                <w:color w:val="000000"/>
                <w:szCs w:val="21"/>
              </w:rPr>
              <w:t>方案包含以上</w:t>
            </w:r>
            <w:r>
              <w:rPr>
                <w:rFonts w:hint="eastAsia" w:ascii="宋体" w:cs="仿宋"/>
                <w:color w:val="000000"/>
                <w:szCs w:val="21"/>
                <w:lang w:val="en-US" w:eastAsia="zh-CN"/>
              </w:rPr>
              <w:t>四</w:t>
            </w:r>
            <w:r>
              <w:rPr>
                <w:rFonts w:hint="eastAsia" w:ascii="宋体" w:cs="仿宋"/>
                <w:color w:val="000000"/>
                <w:szCs w:val="21"/>
              </w:rPr>
              <w:t>项内容得</w:t>
            </w:r>
            <w:r>
              <w:rPr>
                <w:rFonts w:hint="eastAsia" w:ascii="宋体" w:cs="仿宋"/>
                <w:color w:val="000000"/>
                <w:szCs w:val="21"/>
                <w:lang w:val="en-US" w:eastAsia="zh-CN"/>
              </w:rPr>
              <w:t>60</w:t>
            </w:r>
            <w:r>
              <w:rPr>
                <w:rFonts w:hint="eastAsia" w:ascii="宋体" w:cs="仿宋"/>
                <w:color w:val="000000"/>
                <w:szCs w:val="21"/>
              </w:rPr>
              <w:t>分</w:t>
            </w:r>
            <w:r>
              <w:rPr>
                <w:rFonts w:hint="eastAsia" w:ascii="宋体" w:cs="仿宋"/>
                <w:color w:val="000000"/>
                <w:szCs w:val="21"/>
                <w:lang w:eastAsia="zh-CN"/>
              </w:rPr>
              <w:t>；</w:t>
            </w:r>
            <w:r>
              <w:rPr>
                <w:rFonts w:hint="eastAsia" w:ascii="宋体" w:cs="仿宋"/>
                <w:color w:val="000000"/>
                <w:szCs w:val="21"/>
              </w:rPr>
              <w:t>方案包含以上三项内容得</w:t>
            </w:r>
            <w:r>
              <w:rPr>
                <w:rFonts w:hint="eastAsia" w:ascii="宋体" w:cs="仿宋"/>
                <w:color w:val="000000"/>
                <w:szCs w:val="21"/>
                <w:lang w:val="en-US" w:eastAsia="zh-CN"/>
              </w:rPr>
              <w:t>45</w:t>
            </w:r>
            <w:r>
              <w:rPr>
                <w:rFonts w:hint="eastAsia" w:ascii="宋体" w:cs="仿宋"/>
                <w:color w:val="000000"/>
                <w:szCs w:val="21"/>
              </w:rPr>
              <w:t>分；包含以上二项内容得</w:t>
            </w:r>
            <w:r>
              <w:rPr>
                <w:rFonts w:hint="eastAsia" w:ascii="宋体" w:cs="仿宋"/>
                <w:color w:val="000000"/>
                <w:szCs w:val="21"/>
                <w:lang w:val="en-US" w:eastAsia="zh-CN"/>
              </w:rPr>
              <w:t>30</w:t>
            </w:r>
            <w:r>
              <w:rPr>
                <w:rFonts w:hint="eastAsia" w:ascii="宋体" w:cs="仿宋"/>
                <w:color w:val="000000"/>
                <w:szCs w:val="21"/>
              </w:rPr>
              <w:t>分；包含以上一项内容得1</w:t>
            </w:r>
            <w:r>
              <w:rPr>
                <w:rFonts w:hint="eastAsia" w:ascii="宋体" w:cs="仿宋"/>
                <w:color w:val="000000"/>
                <w:szCs w:val="21"/>
                <w:lang w:val="en-US" w:eastAsia="zh-CN"/>
              </w:rPr>
              <w:t>5</w:t>
            </w:r>
            <w:r>
              <w:rPr>
                <w:rFonts w:hint="eastAsia" w:ascii="宋体" w:cs="仿宋"/>
                <w:color w:val="000000"/>
                <w:szCs w:val="21"/>
              </w:rPr>
              <w:t>分；其他情况不得分。</w:t>
            </w:r>
          </w:p>
          <w:p w14:paraId="7F463BFF">
            <w:pPr>
              <w:spacing w:line="360" w:lineRule="exact"/>
              <w:jc w:val="left"/>
              <w:rPr>
                <w:rFonts w:ascii="宋体" w:cs="仿宋"/>
                <w:color w:val="000000"/>
                <w:szCs w:val="21"/>
              </w:rPr>
            </w:pPr>
            <w:r>
              <w:rPr>
                <w:rFonts w:hint="eastAsia" w:ascii="宋体" w:cs="仿宋"/>
                <w:color w:val="000000"/>
                <w:szCs w:val="21"/>
              </w:rPr>
              <w:t>在此基础上，根据方案响应情况进一步评审：</w:t>
            </w:r>
          </w:p>
          <w:p w14:paraId="19475569">
            <w:pPr>
              <w:spacing w:line="360" w:lineRule="exact"/>
              <w:jc w:val="left"/>
              <w:rPr>
                <w:rFonts w:ascii="宋体" w:cs="仿宋"/>
                <w:color w:val="000000"/>
                <w:szCs w:val="21"/>
              </w:rPr>
            </w:pPr>
            <w:r>
              <w:rPr>
                <w:rFonts w:hint="eastAsia" w:ascii="宋体" w:cs="仿宋"/>
                <w:color w:val="000000"/>
                <w:szCs w:val="21"/>
              </w:rPr>
              <w:t>1.售后服务机构及维护人员配置完善，</w:t>
            </w:r>
            <w:r>
              <w:rPr>
                <w:rFonts w:hint="eastAsia" w:ascii="宋体" w:eastAsia="宋体"/>
                <w:color w:val="000000"/>
                <w:szCs w:val="21"/>
              </w:rPr>
              <w:t>售后服务承诺</w:t>
            </w:r>
            <w:r>
              <w:rPr>
                <w:rFonts w:hint="eastAsia" w:ascii="宋体" w:eastAsia="宋体"/>
                <w:color w:val="000000"/>
                <w:szCs w:val="21"/>
                <w:lang w:eastAsia="zh-CN"/>
              </w:rPr>
              <w:t>、</w:t>
            </w:r>
            <w:r>
              <w:rPr>
                <w:rFonts w:hint="eastAsia" w:ascii="宋体" w:eastAsia="宋体"/>
                <w:color w:val="000000"/>
                <w:szCs w:val="21"/>
              </w:rPr>
              <w:t>应急措施</w:t>
            </w:r>
            <w:r>
              <w:rPr>
                <w:rFonts w:hint="eastAsia" w:ascii="宋体" w:eastAsia="宋体"/>
                <w:color w:val="000000"/>
                <w:szCs w:val="21"/>
                <w:lang w:eastAsia="zh-CN"/>
              </w:rPr>
              <w:t>、</w:t>
            </w:r>
            <w:r>
              <w:rPr>
                <w:rFonts w:hint="eastAsia" w:ascii="宋体" w:eastAsia="宋体"/>
                <w:color w:val="000000"/>
                <w:szCs w:val="21"/>
              </w:rPr>
              <w:t>培训方案</w:t>
            </w:r>
            <w:r>
              <w:rPr>
                <w:rFonts w:hint="eastAsia" w:ascii="宋体"/>
                <w:color w:val="000000"/>
              </w:rPr>
              <w:t>科学合理的，</w:t>
            </w:r>
            <w:r>
              <w:rPr>
                <w:rFonts w:hint="eastAsia" w:ascii="宋体" w:cs="仿宋"/>
                <w:color w:val="000000"/>
                <w:szCs w:val="21"/>
              </w:rPr>
              <w:t>加</w:t>
            </w:r>
            <w:r>
              <w:rPr>
                <w:rFonts w:hint="eastAsia" w:ascii="宋体" w:cs="仿宋"/>
                <w:color w:val="000000"/>
                <w:szCs w:val="21"/>
                <w:lang w:val="en-US" w:eastAsia="zh-CN"/>
              </w:rPr>
              <w:t>40</w:t>
            </w:r>
            <w:r>
              <w:rPr>
                <w:rFonts w:hint="eastAsia" w:ascii="宋体" w:cs="仿宋"/>
                <w:color w:val="000000"/>
                <w:szCs w:val="21"/>
              </w:rPr>
              <w:t>分；</w:t>
            </w:r>
          </w:p>
          <w:p w14:paraId="30C7A0F2">
            <w:pPr>
              <w:spacing w:line="360" w:lineRule="exact"/>
              <w:jc w:val="left"/>
              <w:rPr>
                <w:rFonts w:ascii="宋体" w:cs="仿宋"/>
                <w:color w:val="000000"/>
                <w:szCs w:val="21"/>
              </w:rPr>
            </w:pPr>
            <w:r>
              <w:rPr>
                <w:rFonts w:hint="eastAsia" w:ascii="宋体" w:cs="仿宋"/>
                <w:color w:val="000000"/>
                <w:szCs w:val="21"/>
              </w:rPr>
              <w:t>2.售后服务机构及维护人员配置较完善，</w:t>
            </w:r>
            <w:r>
              <w:rPr>
                <w:rFonts w:hint="eastAsia" w:ascii="宋体" w:eastAsia="宋体"/>
                <w:color w:val="000000"/>
                <w:szCs w:val="21"/>
              </w:rPr>
              <w:t>售后服务承诺</w:t>
            </w:r>
            <w:r>
              <w:rPr>
                <w:rFonts w:hint="eastAsia" w:ascii="宋体" w:eastAsia="宋体"/>
                <w:color w:val="000000"/>
                <w:szCs w:val="21"/>
                <w:lang w:eastAsia="zh-CN"/>
              </w:rPr>
              <w:t>、</w:t>
            </w:r>
            <w:r>
              <w:rPr>
                <w:rFonts w:hint="eastAsia" w:ascii="宋体" w:eastAsia="宋体"/>
                <w:color w:val="000000"/>
                <w:szCs w:val="21"/>
              </w:rPr>
              <w:t>应急措施</w:t>
            </w:r>
            <w:r>
              <w:rPr>
                <w:rFonts w:hint="eastAsia" w:ascii="宋体" w:eastAsia="宋体"/>
                <w:color w:val="000000"/>
                <w:szCs w:val="21"/>
                <w:lang w:eastAsia="zh-CN"/>
              </w:rPr>
              <w:t>、</w:t>
            </w:r>
            <w:r>
              <w:rPr>
                <w:rFonts w:hint="eastAsia" w:ascii="宋体" w:eastAsia="宋体"/>
                <w:color w:val="000000"/>
                <w:szCs w:val="21"/>
              </w:rPr>
              <w:t>培训方案</w:t>
            </w:r>
            <w:r>
              <w:rPr>
                <w:rFonts w:hint="eastAsia" w:ascii="宋体"/>
                <w:color w:val="000000"/>
              </w:rPr>
              <w:t>较合理的，</w:t>
            </w:r>
            <w:r>
              <w:rPr>
                <w:rFonts w:hint="eastAsia" w:ascii="宋体" w:cs="仿宋"/>
                <w:color w:val="000000"/>
                <w:szCs w:val="21"/>
              </w:rPr>
              <w:t>加</w:t>
            </w:r>
            <w:r>
              <w:rPr>
                <w:rFonts w:hint="eastAsia" w:ascii="宋体" w:cs="仿宋"/>
                <w:color w:val="000000"/>
                <w:szCs w:val="21"/>
                <w:lang w:val="en-US" w:eastAsia="zh-CN"/>
              </w:rPr>
              <w:t>20</w:t>
            </w:r>
            <w:r>
              <w:rPr>
                <w:rFonts w:hint="eastAsia" w:ascii="宋体" w:cs="仿宋"/>
                <w:color w:val="000000"/>
                <w:szCs w:val="21"/>
              </w:rPr>
              <w:t>分；</w:t>
            </w:r>
          </w:p>
          <w:p w14:paraId="74ABCAD5">
            <w:pPr>
              <w:spacing w:line="360" w:lineRule="exact"/>
              <w:jc w:val="left"/>
              <w:rPr>
                <w:rFonts w:ascii="宋体" w:cs="仿宋"/>
                <w:color w:val="000000"/>
                <w:szCs w:val="21"/>
              </w:rPr>
            </w:pPr>
            <w:r>
              <w:rPr>
                <w:rFonts w:hint="eastAsia" w:ascii="宋体" w:cs="仿宋"/>
                <w:color w:val="000000"/>
                <w:szCs w:val="21"/>
              </w:rPr>
              <w:t>3.售后服务机构及维护人员配置不够完善，</w:t>
            </w:r>
            <w:r>
              <w:rPr>
                <w:rFonts w:hint="eastAsia" w:ascii="宋体" w:eastAsia="宋体"/>
                <w:color w:val="000000"/>
                <w:szCs w:val="21"/>
              </w:rPr>
              <w:t>售后服务承诺</w:t>
            </w:r>
            <w:r>
              <w:rPr>
                <w:rFonts w:hint="eastAsia" w:ascii="宋体" w:eastAsia="宋体"/>
                <w:color w:val="000000"/>
                <w:szCs w:val="21"/>
                <w:lang w:eastAsia="zh-CN"/>
              </w:rPr>
              <w:t>、</w:t>
            </w:r>
            <w:r>
              <w:rPr>
                <w:rFonts w:hint="eastAsia" w:ascii="宋体" w:eastAsia="宋体"/>
                <w:color w:val="000000"/>
                <w:szCs w:val="21"/>
              </w:rPr>
              <w:t>应急措施</w:t>
            </w:r>
            <w:r>
              <w:rPr>
                <w:rFonts w:hint="eastAsia" w:ascii="宋体" w:eastAsia="宋体"/>
                <w:color w:val="000000"/>
                <w:szCs w:val="21"/>
                <w:lang w:eastAsia="zh-CN"/>
              </w:rPr>
              <w:t>、</w:t>
            </w:r>
            <w:r>
              <w:rPr>
                <w:rFonts w:hint="eastAsia" w:ascii="宋体" w:eastAsia="宋体"/>
                <w:color w:val="000000"/>
                <w:szCs w:val="21"/>
              </w:rPr>
              <w:t>培训方案</w:t>
            </w:r>
            <w:r>
              <w:rPr>
                <w:rFonts w:hint="eastAsia" w:ascii="宋体"/>
                <w:color w:val="000000"/>
              </w:rPr>
              <w:t>不够合理的</w:t>
            </w:r>
            <w:r>
              <w:rPr>
                <w:rFonts w:hint="eastAsia" w:ascii="宋体" w:cs="仿宋"/>
                <w:color w:val="000000"/>
                <w:szCs w:val="21"/>
              </w:rPr>
              <w:t>，加1</w:t>
            </w:r>
            <w:r>
              <w:rPr>
                <w:rFonts w:hint="eastAsia" w:ascii="宋体" w:cs="仿宋"/>
                <w:color w:val="000000"/>
                <w:szCs w:val="21"/>
                <w:lang w:val="en-US" w:eastAsia="zh-CN"/>
              </w:rPr>
              <w:t>0</w:t>
            </w:r>
            <w:r>
              <w:rPr>
                <w:rFonts w:hint="eastAsia" w:ascii="宋体" w:cs="仿宋"/>
                <w:color w:val="000000"/>
                <w:szCs w:val="21"/>
              </w:rPr>
              <w:t>分；</w:t>
            </w:r>
          </w:p>
          <w:p w14:paraId="49643DAA">
            <w:pPr>
              <w:spacing w:after="60" w:line="360" w:lineRule="exact"/>
              <w:rPr>
                <w:rFonts w:ascii="宋体" w:eastAsia="宋体"/>
                <w:b/>
                <w:bCs/>
                <w:color w:val="000000"/>
                <w:szCs w:val="21"/>
              </w:rPr>
            </w:pPr>
            <w:r>
              <w:rPr>
                <w:rFonts w:hint="eastAsia" w:ascii="宋体" w:cs="仿宋"/>
                <w:color w:val="000000"/>
                <w:szCs w:val="21"/>
              </w:rPr>
              <w:t>4.售后服务机构及维护人员配置不完善，</w:t>
            </w:r>
            <w:r>
              <w:rPr>
                <w:rFonts w:hint="eastAsia" w:ascii="宋体" w:eastAsia="宋体"/>
                <w:color w:val="000000"/>
                <w:szCs w:val="21"/>
              </w:rPr>
              <w:t>售后服务承诺</w:t>
            </w:r>
            <w:r>
              <w:rPr>
                <w:rFonts w:hint="eastAsia" w:ascii="宋体" w:eastAsia="宋体"/>
                <w:color w:val="000000"/>
                <w:szCs w:val="21"/>
                <w:lang w:eastAsia="zh-CN"/>
              </w:rPr>
              <w:t>、</w:t>
            </w:r>
            <w:r>
              <w:rPr>
                <w:rFonts w:hint="eastAsia" w:ascii="宋体" w:eastAsia="宋体"/>
                <w:color w:val="000000"/>
                <w:szCs w:val="21"/>
              </w:rPr>
              <w:t>应急措施</w:t>
            </w:r>
            <w:r>
              <w:rPr>
                <w:rFonts w:hint="eastAsia" w:ascii="宋体" w:eastAsia="宋体"/>
                <w:color w:val="000000"/>
                <w:szCs w:val="21"/>
                <w:lang w:eastAsia="zh-CN"/>
              </w:rPr>
              <w:t>、</w:t>
            </w:r>
            <w:r>
              <w:rPr>
                <w:rFonts w:hint="eastAsia" w:ascii="宋体" w:eastAsia="宋体"/>
                <w:color w:val="000000"/>
                <w:szCs w:val="21"/>
              </w:rPr>
              <w:t>培训方案</w:t>
            </w:r>
            <w:r>
              <w:rPr>
                <w:rFonts w:hint="eastAsia" w:ascii="宋体"/>
                <w:color w:val="000000"/>
              </w:rPr>
              <w:t>不合理的</w:t>
            </w:r>
            <w:r>
              <w:rPr>
                <w:rFonts w:hint="eastAsia" w:ascii="宋体" w:cs="仿宋"/>
                <w:color w:val="000000"/>
                <w:szCs w:val="21"/>
              </w:rPr>
              <w:t>，不加分。</w:t>
            </w:r>
          </w:p>
        </w:tc>
      </w:tr>
      <w:tr w14:paraId="6E1E83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0AAC837B">
            <w:pPr>
              <w:spacing w:line="360" w:lineRule="exact"/>
              <w:jc w:val="center"/>
              <w:rPr>
                <w:rFonts w:ascii="宋体" w:eastAsia="宋体"/>
                <w:b/>
                <w:bCs/>
                <w:color w:val="0000FF"/>
                <w:sz w:val="24"/>
              </w:rPr>
            </w:pPr>
            <w:r>
              <w:rPr>
                <w:rFonts w:ascii="宋体" w:eastAsia="宋体"/>
                <w:b/>
                <w:bCs/>
                <w:color w:val="0000FF"/>
              </w:rPr>
              <w:t>3</w:t>
            </w:r>
          </w:p>
        </w:tc>
        <w:tc>
          <w:tcPr>
            <w:tcW w:w="3433" w:type="dxa"/>
            <w:gridSpan w:val="3"/>
            <w:tcBorders>
              <w:top w:val="single" w:color="000000" w:sz="8" w:space="0"/>
              <w:left w:val="single" w:color="000000" w:sz="8" w:space="0"/>
              <w:bottom w:val="single" w:color="000000" w:sz="8" w:space="0"/>
              <w:right w:val="single" w:color="000000" w:sz="8" w:space="0"/>
            </w:tcBorders>
          </w:tcPr>
          <w:p w14:paraId="5D7365F1">
            <w:pPr>
              <w:spacing w:line="360" w:lineRule="exact"/>
              <w:jc w:val="center"/>
              <w:rPr>
                <w:rFonts w:ascii="宋体" w:eastAsia="宋体"/>
                <w:b/>
                <w:bCs/>
                <w:color w:val="0000FF"/>
              </w:rPr>
            </w:pPr>
            <w:r>
              <w:rPr>
                <w:rFonts w:ascii="宋体" w:eastAsia="宋体"/>
                <w:b/>
                <w:bCs/>
                <w:color w:val="0000FF"/>
              </w:rPr>
              <w:t>商务</w:t>
            </w:r>
          </w:p>
        </w:tc>
        <w:tc>
          <w:tcPr>
            <w:tcW w:w="5386" w:type="dxa"/>
            <w:tcBorders>
              <w:top w:val="single" w:color="000000" w:sz="8" w:space="0"/>
              <w:left w:val="single" w:color="000000" w:sz="8" w:space="0"/>
              <w:bottom w:val="single" w:color="000000" w:sz="8" w:space="0"/>
              <w:right w:val="single" w:color="000000" w:sz="8" w:space="0"/>
            </w:tcBorders>
          </w:tcPr>
          <w:p w14:paraId="209544A1">
            <w:pPr>
              <w:spacing w:line="360" w:lineRule="exact"/>
              <w:jc w:val="center"/>
              <w:rPr>
                <w:rFonts w:hint="default" w:ascii="宋体" w:eastAsia="宋体"/>
                <w:b/>
                <w:bCs/>
                <w:color w:val="0000FF"/>
                <w:lang w:val="en-US" w:eastAsia="zh-CN"/>
              </w:rPr>
            </w:pPr>
            <w:r>
              <w:rPr>
                <w:rFonts w:hint="eastAsia" w:ascii="宋体"/>
                <w:b/>
                <w:bCs/>
                <w:color w:val="0000FF"/>
                <w:lang w:val="en-US" w:eastAsia="zh-CN"/>
              </w:rPr>
              <w:t>26</w:t>
            </w:r>
          </w:p>
        </w:tc>
      </w:tr>
      <w:tr w14:paraId="31179B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7F7141E">
            <w:pPr>
              <w:spacing w:line="360" w:lineRule="exact"/>
              <w:jc w:val="center"/>
              <w:rPr>
                <w:rFonts w:ascii="宋体" w:eastAsia="宋体" w:cs="宋体"/>
                <w:b/>
                <w:bCs/>
                <w:color w:val="0000FF"/>
                <w:sz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5B30760D">
            <w:pPr>
              <w:spacing w:line="360" w:lineRule="exact"/>
              <w:jc w:val="center"/>
              <w:rPr>
                <w:rFonts w:ascii="宋体" w:eastAsia="宋体" w:cs="宋体"/>
                <w:szCs w:val="21"/>
              </w:rPr>
            </w:pPr>
            <w:r>
              <w:rPr>
                <w:rFonts w:ascii="宋体" w:eastAsia="宋体"/>
                <w:szCs w:val="21"/>
              </w:rPr>
              <w:t>序号</w:t>
            </w:r>
          </w:p>
        </w:tc>
        <w:tc>
          <w:tcPr>
            <w:tcW w:w="2116"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31B83AF">
            <w:pPr>
              <w:spacing w:line="360" w:lineRule="exact"/>
              <w:jc w:val="center"/>
              <w:rPr>
                <w:rFonts w:ascii="宋体" w:eastAsia="宋体"/>
                <w:szCs w:val="21"/>
              </w:rPr>
            </w:pPr>
            <w:r>
              <w:rPr>
                <w:rFonts w:ascii="宋体" w:eastAsia="宋体"/>
                <w:szCs w:val="21"/>
              </w:rPr>
              <w:t>评分因素</w:t>
            </w:r>
          </w:p>
        </w:tc>
        <w:tc>
          <w:tcPr>
            <w:tcW w:w="637"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0CB02A9">
            <w:pPr>
              <w:spacing w:line="360" w:lineRule="exact"/>
              <w:jc w:val="center"/>
              <w:rPr>
                <w:rFonts w:ascii="宋体" w:eastAsia="宋体"/>
                <w:szCs w:val="21"/>
              </w:rPr>
            </w:pPr>
            <w:r>
              <w:rPr>
                <w:rFonts w:ascii="宋体" w:eastAsia="宋体"/>
                <w:szCs w:val="21"/>
              </w:rPr>
              <w:t>权重(%)</w:t>
            </w:r>
          </w:p>
        </w:tc>
        <w:tc>
          <w:tcPr>
            <w:tcW w:w="5386"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5808746">
            <w:pPr>
              <w:spacing w:line="360" w:lineRule="exact"/>
              <w:jc w:val="center"/>
              <w:rPr>
                <w:rFonts w:ascii="宋体" w:eastAsia="宋体"/>
                <w:szCs w:val="21"/>
              </w:rPr>
            </w:pPr>
            <w:r>
              <w:rPr>
                <w:rFonts w:ascii="宋体" w:eastAsia="宋体"/>
                <w:szCs w:val="21"/>
              </w:rPr>
              <w:t>评分准则</w:t>
            </w:r>
          </w:p>
        </w:tc>
      </w:tr>
      <w:tr w14:paraId="729D61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tcPr>
          <w:p w14:paraId="23C39946">
            <w:pPr>
              <w:spacing w:line="360" w:lineRule="exact"/>
              <w:rPr>
                <w:rFonts w:ascii="宋体" w:eastAsia="宋体" w:cs="宋体"/>
                <w:b/>
                <w:bCs/>
                <w:color w:val="0000FF"/>
                <w:sz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BF558BD">
            <w:pPr>
              <w:spacing w:line="360" w:lineRule="exact"/>
              <w:jc w:val="center"/>
              <w:rPr>
                <w:rFonts w:ascii="宋体" w:eastAsia="宋体"/>
                <w:szCs w:val="21"/>
              </w:rPr>
            </w:pPr>
            <w:r>
              <w:rPr>
                <w:rFonts w:ascii="宋体" w:eastAsia="宋体"/>
                <w:szCs w:val="21"/>
              </w:rPr>
              <w:t>1</w:t>
            </w:r>
          </w:p>
        </w:tc>
        <w:tc>
          <w:tcPr>
            <w:tcW w:w="2116" w:type="dxa"/>
            <w:tcBorders>
              <w:top w:val="single" w:color="000000" w:sz="8" w:space="0"/>
              <w:left w:val="single" w:color="000000" w:sz="8" w:space="0"/>
              <w:bottom w:val="single" w:color="000000" w:sz="8" w:space="0"/>
              <w:right w:val="single" w:color="000000" w:sz="8" w:space="0"/>
            </w:tcBorders>
            <w:vAlign w:val="center"/>
          </w:tcPr>
          <w:p w14:paraId="3D59D003">
            <w:pPr>
              <w:spacing w:line="360" w:lineRule="exact"/>
              <w:jc w:val="center"/>
              <w:rPr>
                <w:rFonts w:ascii="宋体" w:eastAsia="宋体"/>
                <w:szCs w:val="21"/>
              </w:rPr>
            </w:pPr>
            <w:r>
              <w:rPr>
                <w:rFonts w:hint="eastAsia" w:ascii="宋体" w:eastAsia="宋体"/>
                <w:szCs w:val="21"/>
              </w:rPr>
              <w:t>类似业绩</w:t>
            </w:r>
          </w:p>
        </w:tc>
        <w:tc>
          <w:tcPr>
            <w:tcW w:w="637" w:type="dxa"/>
            <w:tcBorders>
              <w:top w:val="single" w:color="000000" w:sz="8" w:space="0"/>
              <w:left w:val="single" w:color="000000" w:sz="8" w:space="0"/>
              <w:bottom w:val="single" w:color="000000" w:sz="8" w:space="0"/>
              <w:right w:val="single" w:color="000000" w:sz="8" w:space="0"/>
            </w:tcBorders>
            <w:vAlign w:val="center"/>
          </w:tcPr>
          <w:p w14:paraId="454A2DAB">
            <w:pPr>
              <w:spacing w:line="360" w:lineRule="exact"/>
              <w:jc w:val="center"/>
              <w:rPr>
                <w:rFonts w:ascii="宋体" w:eastAsia="宋体"/>
                <w:szCs w:val="21"/>
              </w:rPr>
            </w:pPr>
            <w:r>
              <w:rPr>
                <w:rFonts w:hint="eastAsia" w:ascii="宋体" w:eastAsia="宋体"/>
                <w:szCs w:val="21"/>
              </w:rPr>
              <w:t>10</w:t>
            </w:r>
          </w:p>
        </w:tc>
        <w:tc>
          <w:tcPr>
            <w:tcW w:w="5386" w:type="dxa"/>
            <w:tcBorders>
              <w:top w:val="single" w:color="000000" w:sz="8" w:space="0"/>
              <w:left w:val="single" w:color="000000" w:sz="8" w:space="0"/>
              <w:bottom w:val="single" w:color="000000" w:sz="8" w:space="0"/>
              <w:right w:val="single" w:color="000000" w:sz="8" w:space="0"/>
            </w:tcBorders>
          </w:tcPr>
          <w:p w14:paraId="6D71F1ED">
            <w:pPr>
              <w:spacing w:line="360" w:lineRule="exact"/>
              <w:jc w:val="left"/>
              <w:rPr>
                <w:rFonts w:hint="eastAsia" w:ascii="宋体" w:eastAsia="宋体"/>
                <w:szCs w:val="21"/>
              </w:rPr>
            </w:pPr>
            <w:r>
              <w:rPr>
                <w:rFonts w:hint="eastAsia" w:ascii="宋体" w:eastAsia="宋体"/>
                <w:szCs w:val="21"/>
                <w:lang w:eastAsia="zh-CN"/>
              </w:rPr>
              <w:t>（</w:t>
            </w:r>
            <w:r>
              <w:rPr>
                <w:rFonts w:hint="eastAsia" w:ascii="宋体" w:eastAsia="宋体"/>
                <w:szCs w:val="21"/>
                <w:lang w:val="en-US" w:eastAsia="zh-CN"/>
              </w:rPr>
              <w:t>一</w:t>
            </w:r>
            <w:r>
              <w:rPr>
                <w:rFonts w:hint="eastAsia" w:ascii="宋体" w:eastAsia="宋体"/>
                <w:szCs w:val="21"/>
                <w:lang w:eastAsia="zh-CN"/>
              </w:rPr>
              <w:t>）</w:t>
            </w:r>
            <w:r>
              <w:rPr>
                <w:rFonts w:hint="eastAsia" w:ascii="宋体" w:eastAsia="宋体"/>
                <w:szCs w:val="21"/>
              </w:rPr>
              <w:t>评分内容：</w:t>
            </w:r>
          </w:p>
          <w:p w14:paraId="6E54129B">
            <w:pPr>
              <w:spacing w:line="360" w:lineRule="exact"/>
              <w:jc w:val="left"/>
              <w:rPr>
                <w:rFonts w:hint="eastAsia" w:ascii="宋体" w:eastAsia="宋体"/>
                <w:szCs w:val="21"/>
              </w:rPr>
            </w:pPr>
            <w:r>
              <w:rPr>
                <w:rFonts w:hint="eastAsia" w:ascii="宋体" w:eastAsia="宋体"/>
                <w:szCs w:val="21"/>
              </w:rPr>
              <w:t>投标人自2020年1月1日</w:t>
            </w:r>
            <w:r>
              <w:rPr>
                <w:rFonts w:hint="eastAsia" w:ascii="宋体" w:eastAsia="宋体"/>
                <w:szCs w:val="21"/>
                <w:lang w:val="en-US" w:eastAsia="zh-CN"/>
              </w:rPr>
              <w:t>至本项目投标截止之日</w:t>
            </w:r>
            <w:r>
              <w:rPr>
                <w:rFonts w:hint="eastAsia" w:ascii="宋体" w:eastAsia="宋体"/>
                <w:szCs w:val="21"/>
              </w:rPr>
              <w:t>（以合同签订时间为准）</w:t>
            </w:r>
            <w:r>
              <w:rPr>
                <w:rFonts w:hint="eastAsia" w:ascii="宋体"/>
                <w:szCs w:val="21"/>
                <w:lang w:val="en-US" w:eastAsia="zh-CN"/>
              </w:rPr>
              <w:t>具有同类项目业绩（指总长为10米或12米、</w:t>
            </w:r>
            <w:r>
              <w:rPr>
                <w:rFonts w:hint="eastAsia" w:ascii="宋体" w:eastAsia="宋体"/>
                <w:szCs w:val="21"/>
              </w:rPr>
              <w:t>铝合金材质</w:t>
            </w:r>
            <w:r>
              <w:rPr>
                <w:rFonts w:hint="eastAsia" w:ascii="宋体"/>
                <w:szCs w:val="21"/>
                <w:lang w:val="en-US" w:eastAsia="zh-CN"/>
              </w:rPr>
              <w:t>且</w:t>
            </w:r>
            <w:r>
              <w:rPr>
                <w:rFonts w:hint="eastAsia" w:ascii="宋体" w:eastAsia="宋体"/>
                <w:szCs w:val="21"/>
              </w:rPr>
              <w:t>航速</w:t>
            </w:r>
            <w:r>
              <w:rPr>
                <w:rFonts w:hint="eastAsia" w:ascii="宋体"/>
                <w:szCs w:val="21"/>
                <w:lang w:val="en-US" w:eastAsia="zh-CN"/>
              </w:rPr>
              <w:t>达到40</w:t>
            </w:r>
            <w:r>
              <w:rPr>
                <w:rFonts w:hint="eastAsia" w:ascii="宋体" w:eastAsia="宋体"/>
                <w:szCs w:val="21"/>
              </w:rPr>
              <w:t>节</w:t>
            </w:r>
            <w:r>
              <w:rPr>
                <w:rFonts w:hint="eastAsia" w:ascii="宋体"/>
                <w:szCs w:val="21"/>
                <w:lang w:val="en-US" w:eastAsia="zh-CN"/>
              </w:rPr>
              <w:t>或</w:t>
            </w:r>
            <w:r>
              <w:rPr>
                <w:rFonts w:hint="eastAsia" w:ascii="宋体" w:eastAsia="宋体"/>
                <w:szCs w:val="21"/>
              </w:rPr>
              <w:t>以上</w:t>
            </w:r>
            <w:r>
              <w:rPr>
                <w:rFonts w:hint="eastAsia" w:ascii="宋体"/>
                <w:szCs w:val="21"/>
                <w:lang w:val="en-US" w:eastAsia="zh-CN"/>
              </w:rPr>
              <w:t>的</w:t>
            </w:r>
            <w:r>
              <w:rPr>
                <w:rFonts w:hint="eastAsia" w:ascii="宋体" w:eastAsia="宋体"/>
                <w:szCs w:val="21"/>
              </w:rPr>
              <w:t>公务执法艇</w:t>
            </w:r>
            <w:r>
              <w:rPr>
                <w:rFonts w:hint="eastAsia" w:ascii="宋体"/>
                <w:szCs w:val="21"/>
                <w:lang w:val="en-US" w:eastAsia="zh-CN"/>
              </w:rPr>
              <w:t>或</w:t>
            </w:r>
            <w:r>
              <w:rPr>
                <w:rFonts w:hint="eastAsia" w:ascii="宋体" w:eastAsia="宋体"/>
                <w:szCs w:val="21"/>
              </w:rPr>
              <w:t>巡逻快艇</w:t>
            </w:r>
            <w:r>
              <w:rPr>
                <w:rFonts w:hint="eastAsia" w:ascii="宋体"/>
                <w:szCs w:val="21"/>
                <w:lang w:val="en-US" w:eastAsia="zh-CN"/>
              </w:rPr>
              <w:t>采购项目），</w:t>
            </w:r>
            <w:r>
              <w:rPr>
                <w:rFonts w:hint="eastAsia" w:ascii="宋体" w:eastAsia="宋体"/>
                <w:szCs w:val="21"/>
              </w:rPr>
              <w:t>每</w:t>
            </w:r>
            <w:r>
              <w:rPr>
                <w:rFonts w:hint="eastAsia" w:ascii="宋体" w:eastAsia="宋体"/>
                <w:szCs w:val="21"/>
                <w:lang w:val="en-US" w:eastAsia="zh-CN"/>
              </w:rPr>
              <w:t>提供1</w:t>
            </w:r>
            <w:r>
              <w:rPr>
                <w:rFonts w:hint="eastAsia" w:ascii="宋体" w:eastAsia="宋体"/>
                <w:szCs w:val="21"/>
              </w:rPr>
              <w:t>艘</w:t>
            </w:r>
            <w:r>
              <w:rPr>
                <w:rFonts w:hint="eastAsia" w:ascii="宋体" w:eastAsia="宋体"/>
                <w:szCs w:val="21"/>
                <w:lang w:val="en-US" w:eastAsia="zh-CN"/>
              </w:rPr>
              <w:t>的</w:t>
            </w:r>
            <w:r>
              <w:rPr>
                <w:rFonts w:hint="eastAsia" w:ascii="宋体" w:eastAsia="宋体"/>
                <w:szCs w:val="21"/>
              </w:rPr>
              <w:t>得1</w:t>
            </w:r>
            <w:r>
              <w:rPr>
                <w:rFonts w:hint="eastAsia" w:ascii="宋体"/>
                <w:szCs w:val="21"/>
                <w:lang w:val="en-US" w:eastAsia="zh-CN"/>
              </w:rPr>
              <w:t>0</w:t>
            </w:r>
            <w:r>
              <w:rPr>
                <w:rFonts w:hint="eastAsia" w:ascii="宋体" w:eastAsia="宋体"/>
                <w:szCs w:val="21"/>
              </w:rPr>
              <w:t>分，</w:t>
            </w:r>
            <w:r>
              <w:rPr>
                <w:rFonts w:hint="eastAsia" w:ascii="宋体" w:eastAsia="宋体"/>
                <w:szCs w:val="21"/>
                <w:lang w:val="en-US" w:eastAsia="zh-CN"/>
              </w:rPr>
              <w:t>最高</w:t>
            </w:r>
            <w:r>
              <w:rPr>
                <w:rFonts w:hint="eastAsia" w:ascii="宋体" w:eastAsia="宋体"/>
                <w:szCs w:val="21"/>
              </w:rPr>
              <w:t>得10</w:t>
            </w:r>
            <w:r>
              <w:rPr>
                <w:rFonts w:hint="eastAsia" w:ascii="宋体"/>
                <w:szCs w:val="21"/>
                <w:lang w:val="en-US" w:eastAsia="zh-CN"/>
              </w:rPr>
              <w:t>0</w:t>
            </w:r>
            <w:r>
              <w:rPr>
                <w:rFonts w:hint="eastAsia" w:ascii="宋体" w:eastAsia="宋体"/>
                <w:szCs w:val="21"/>
              </w:rPr>
              <w:t>分。</w:t>
            </w:r>
            <w:r>
              <w:rPr>
                <w:rFonts w:hint="eastAsia"/>
                <w:lang w:val="en-US" w:eastAsia="zh-CN"/>
              </w:rPr>
              <w:t>同一项目包含多艘同类船艇采购的，可以累计得分。</w:t>
            </w:r>
          </w:p>
          <w:p w14:paraId="72A827A0">
            <w:pPr>
              <w:spacing w:line="360" w:lineRule="exact"/>
              <w:jc w:val="left"/>
              <w:rPr>
                <w:rFonts w:hint="eastAsia" w:ascii="宋体" w:eastAsia="宋体"/>
                <w:szCs w:val="21"/>
              </w:rPr>
            </w:pPr>
            <w:r>
              <w:rPr>
                <w:rFonts w:hint="eastAsia" w:ascii="宋体" w:eastAsia="宋体"/>
                <w:szCs w:val="21"/>
              </w:rPr>
              <w:t>（二）评分依据：</w:t>
            </w:r>
          </w:p>
          <w:p w14:paraId="619136E0">
            <w:pPr>
              <w:spacing w:line="360" w:lineRule="exact"/>
              <w:rPr>
                <w:rFonts w:ascii="宋体" w:eastAsia="宋体"/>
                <w:szCs w:val="21"/>
              </w:rPr>
            </w:pPr>
            <w:r>
              <w:rPr>
                <w:rFonts w:ascii="宋体" w:eastAsia="宋体"/>
                <w:szCs w:val="21"/>
              </w:rPr>
              <w:t>1.提供合同关键页</w:t>
            </w:r>
            <w:r>
              <w:rPr>
                <w:rFonts w:hint="eastAsia" w:ascii="宋体" w:eastAsia="宋体"/>
                <w:szCs w:val="21"/>
              </w:rPr>
              <w:t>（至少包含货物清单、采购人名称、合同签订日期和签字盖章页）</w:t>
            </w:r>
            <w:r>
              <w:rPr>
                <w:rFonts w:ascii="宋体" w:eastAsia="宋体"/>
                <w:szCs w:val="21"/>
              </w:rPr>
              <w:t xml:space="preserve">； </w:t>
            </w:r>
          </w:p>
          <w:p w14:paraId="5DBB82B1">
            <w:pPr>
              <w:spacing w:line="360" w:lineRule="exact"/>
              <w:jc w:val="left"/>
            </w:pPr>
            <w:r>
              <w:rPr>
                <w:rFonts w:ascii="宋体" w:eastAsia="宋体"/>
                <w:szCs w:val="21"/>
              </w:rPr>
              <w:t>2. 以上证明文件均提供</w:t>
            </w:r>
            <w:r>
              <w:rPr>
                <w:rFonts w:hint="eastAsia" w:ascii="宋体" w:eastAsia="宋体"/>
                <w:szCs w:val="21"/>
              </w:rPr>
              <w:t>扫描件</w:t>
            </w:r>
            <w:r>
              <w:rPr>
                <w:rFonts w:ascii="宋体" w:eastAsia="宋体"/>
                <w:szCs w:val="21"/>
              </w:rPr>
              <w:t>，原件备查。未按要求提供有效证明材料或提供不清晰导致评委无法识别的不计得分。</w:t>
            </w:r>
          </w:p>
        </w:tc>
      </w:tr>
      <w:tr w14:paraId="37A534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tcPr>
          <w:p w14:paraId="21A3A440">
            <w:pPr>
              <w:spacing w:line="360" w:lineRule="exact"/>
              <w:rPr>
                <w:rFonts w:ascii="宋体" w:eastAsia="宋体" w:cs="宋体"/>
                <w:b/>
                <w:bCs/>
                <w:color w:val="0000FF"/>
                <w:sz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02A852B7">
            <w:pPr>
              <w:spacing w:line="360" w:lineRule="exact"/>
              <w:jc w:val="center"/>
              <w:rPr>
                <w:rFonts w:ascii="宋体" w:eastAsia="宋体"/>
                <w:szCs w:val="21"/>
              </w:rPr>
            </w:pPr>
            <w:r>
              <w:rPr>
                <w:rFonts w:hint="eastAsia" w:ascii="宋体" w:eastAsia="宋体"/>
                <w:szCs w:val="21"/>
              </w:rPr>
              <w:t>2</w:t>
            </w:r>
          </w:p>
        </w:tc>
        <w:tc>
          <w:tcPr>
            <w:tcW w:w="2116" w:type="dxa"/>
            <w:tcBorders>
              <w:top w:val="single" w:color="000000" w:sz="8" w:space="0"/>
              <w:left w:val="single" w:color="000000" w:sz="8" w:space="0"/>
              <w:bottom w:val="single" w:color="000000" w:sz="8" w:space="0"/>
              <w:right w:val="single" w:color="000000" w:sz="8" w:space="0"/>
            </w:tcBorders>
            <w:vAlign w:val="center"/>
          </w:tcPr>
          <w:p w14:paraId="0131A961">
            <w:pPr>
              <w:spacing w:line="360" w:lineRule="exact"/>
              <w:jc w:val="center"/>
              <w:rPr>
                <w:rFonts w:hint="eastAsia" w:ascii="宋体" w:eastAsia="宋体"/>
                <w:szCs w:val="21"/>
                <w:lang w:eastAsia="zh-CN"/>
              </w:rPr>
            </w:pPr>
            <w:r>
              <w:rPr>
                <w:rFonts w:hint="eastAsia" w:ascii="宋体" w:eastAsia="宋体"/>
                <w:szCs w:val="21"/>
                <w:lang w:eastAsia="zh-CN"/>
              </w:rPr>
              <w:t>企业资质证书</w:t>
            </w:r>
          </w:p>
        </w:tc>
        <w:tc>
          <w:tcPr>
            <w:tcW w:w="637" w:type="dxa"/>
            <w:tcBorders>
              <w:top w:val="single" w:color="000000" w:sz="8" w:space="0"/>
              <w:left w:val="single" w:color="000000" w:sz="8" w:space="0"/>
              <w:bottom w:val="single" w:color="000000" w:sz="8" w:space="0"/>
              <w:right w:val="single" w:color="000000" w:sz="8" w:space="0"/>
            </w:tcBorders>
            <w:vAlign w:val="center"/>
          </w:tcPr>
          <w:p w14:paraId="5AF37482">
            <w:pPr>
              <w:spacing w:line="360" w:lineRule="exact"/>
              <w:jc w:val="center"/>
              <w:rPr>
                <w:rFonts w:hint="eastAsia" w:ascii="宋体" w:eastAsia="宋体"/>
                <w:szCs w:val="21"/>
                <w:lang w:eastAsia="zh-CN"/>
              </w:rPr>
            </w:pPr>
            <w:r>
              <w:rPr>
                <w:rFonts w:hint="eastAsia" w:ascii="宋体"/>
                <w:szCs w:val="21"/>
                <w:lang w:val="en-US" w:eastAsia="zh-CN"/>
              </w:rPr>
              <w:t>4</w:t>
            </w:r>
          </w:p>
        </w:tc>
        <w:tc>
          <w:tcPr>
            <w:tcW w:w="5386" w:type="dxa"/>
            <w:tcBorders>
              <w:top w:val="single" w:color="000000" w:sz="8" w:space="0"/>
              <w:left w:val="single" w:color="000000" w:sz="8" w:space="0"/>
              <w:bottom w:val="single" w:color="000000" w:sz="8" w:space="0"/>
              <w:right w:val="single" w:color="000000" w:sz="8" w:space="0"/>
            </w:tcBorders>
          </w:tcPr>
          <w:p w14:paraId="4D0EABBE">
            <w:pPr>
              <w:jc w:val="left"/>
              <w:rPr>
                <w:rFonts w:ascii="宋体" w:eastAsia="宋体"/>
                <w:color w:val="000000"/>
                <w:szCs w:val="21"/>
                <w:highlight w:val="none"/>
              </w:rPr>
            </w:pPr>
            <w:r>
              <w:rPr>
                <w:rFonts w:hint="eastAsia" w:ascii="宋体" w:eastAsia="宋体"/>
                <w:color w:val="000000"/>
                <w:szCs w:val="21"/>
                <w:highlight w:val="none"/>
              </w:rPr>
              <w:t>（一）评分内容：</w:t>
            </w:r>
          </w:p>
          <w:p w14:paraId="08CDA298">
            <w:pPr>
              <w:spacing w:line="360" w:lineRule="exact"/>
              <w:jc w:val="left"/>
              <w:rPr>
                <w:rFonts w:hint="eastAsia" w:ascii="宋体" w:eastAsia="宋体"/>
                <w:szCs w:val="21"/>
              </w:rPr>
            </w:pPr>
            <w:r>
              <w:rPr>
                <w:rFonts w:hint="eastAsia" w:ascii="宋体" w:eastAsia="宋体"/>
                <w:szCs w:val="21"/>
              </w:rPr>
              <w:t>投标人或任一项投标产品制造商获得安全生产标准化证书</w:t>
            </w:r>
            <w:r>
              <w:rPr>
                <w:rFonts w:hint="eastAsia" w:ascii="宋体"/>
                <w:szCs w:val="21"/>
                <w:lang w:val="en-US" w:eastAsia="zh-CN"/>
              </w:rPr>
              <w:t>的</w:t>
            </w:r>
            <w:r>
              <w:rPr>
                <w:rFonts w:hint="eastAsia" w:ascii="宋体" w:eastAsia="宋体"/>
                <w:szCs w:val="21"/>
              </w:rPr>
              <w:t>得</w:t>
            </w:r>
            <w:r>
              <w:rPr>
                <w:rFonts w:hint="eastAsia" w:ascii="宋体"/>
                <w:szCs w:val="21"/>
                <w:lang w:val="en-US" w:eastAsia="zh-CN"/>
              </w:rPr>
              <w:t>100</w:t>
            </w:r>
            <w:r>
              <w:rPr>
                <w:rFonts w:hint="eastAsia" w:ascii="宋体" w:eastAsia="宋体"/>
                <w:szCs w:val="21"/>
              </w:rPr>
              <w:t>分</w:t>
            </w:r>
            <w:r>
              <w:rPr>
                <w:rFonts w:hint="eastAsia" w:ascii="宋体"/>
                <w:szCs w:val="21"/>
                <w:lang w:eastAsia="zh-CN"/>
              </w:rPr>
              <w:t>，</w:t>
            </w:r>
            <w:r>
              <w:rPr>
                <w:rFonts w:hint="eastAsia" w:ascii="宋体"/>
                <w:szCs w:val="21"/>
                <w:lang w:val="en-US" w:eastAsia="zh-CN"/>
              </w:rPr>
              <w:t>其他情况不得分</w:t>
            </w:r>
            <w:r>
              <w:rPr>
                <w:rFonts w:hint="eastAsia" w:ascii="宋体" w:eastAsia="宋体"/>
                <w:szCs w:val="21"/>
              </w:rPr>
              <w:t xml:space="preserve">。 </w:t>
            </w:r>
          </w:p>
          <w:p w14:paraId="0AA07200">
            <w:pPr>
              <w:autoSpaceDE w:val="0"/>
              <w:autoSpaceDN w:val="0"/>
              <w:adjustRightInd w:val="0"/>
              <w:spacing w:line="360" w:lineRule="exact"/>
              <w:jc w:val="left"/>
              <w:rPr>
                <w:rFonts w:ascii="宋体" w:eastAsia="宋体"/>
                <w:color w:val="000000"/>
                <w:kern w:val="0"/>
                <w:szCs w:val="21"/>
                <w:highlight w:val="none"/>
              </w:rPr>
            </w:pPr>
            <w:r>
              <w:rPr>
                <w:rFonts w:hint="eastAsia" w:ascii="宋体" w:eastAsia="宋体"/>
                <w:color w:val="000000"/>
                <w:kern w:val="0"/>
                <w:szCs w:val="21"/>
                <w:highlight w:val="none"/>
              </w:rPr>
              <w:t>（二）评分依据：</w:t>
            </w:r>
          </w:p>
          <w:p w14:paraId="7A288776">
            <w:pPr>
              <w:spacing w:line="360" w:lineRule="exact"/>
              <w:jc w:val="left"/>
              <w:rPr>
                <w:rFonts w:hint="eastAsia" w:ascii="宋体" w:eastAsia="宋体"/>
                <w:szCs w:val="21"/>
                <w:lang w:eastAsia="zh-CN"/>
              </w:rPr>
            </w:pPr>
            <w:r>
              <w:rPr>
                <w:rFonts w:hint="eastAsia" w:ascii="宋体"/>
                <w:szCs w:val="21"/>
                <w:lang w:val="en-US" w:eastAsia="zh-CN"/>
              </w:rPr>
              <w:t>1.</w:t>
            </w:r>
            <w:r>
              <w:rPr>
                <w:rFonts w:hint="eastAsia" w:ascii="宋体" w:eastAsia="宋体"/>
                <w:szCs w:val="21"/>
                <w:lang w:val="en-US" w:eastAsia="zh-CN"/>
              </w:rPr>
              <w:t>提供</w:t>
            </w:r>
            <w:r>
              <w:rPr>
                <w:rFonts w:hint="eastAsia" w:ascii="宋体" w:eastAsia="宋体"/>
                <w:szCs w:val="21"/>
              </w:rPr>
              <w:t>提供安全生产标准化证书作为得分依据</w:t>
            </w:r>
            <w:r>
              <w:rPr>
                <w:rFonts w:hint="eastAsia" w:ascii="宋体" w:eastAsia="宋体"/>
                <w:szCs w:val="21"/>
                <w:lang w:eastAsia="zh-CN"/>
              </w:rPr>
              <w:t>；</w:t>
            </w:r>
          </w:p>
          <w:p w14:paraId="4AD1C828">
            <w:pPr>
              <w:spacing w:line="360" w:lineRule="exact"/>
              <w:jc w:val="left"/>
              <w:rPr>
                <w:rFonts w:ascii="宋体" w:eastAsia="宋体"/>
                <w:szCs w:val="21"/>
              </w:rPr>
            </w:pPr>
            <w:r>
              <w:rPr>
                <w:rFonts w:hint="eastAsia" w:ascii="宋体"/>
                <w:szCs w:val="21"/>
                <w:lang w:val="en-US" w:eastAsia="zh-CN"/>
              </w:rPr>
              <w:t>2.</w:t>
            </w:r>
            <w:r>
              <w:rPr>
                <w:rFonts w:hint="eastAsia" w:ascii="宋体" w:eastAsia="宋体"/>
                <w:color w:val="000000"/>
                <w:szCs w:val="21"/>
                <w:highlight w:val="none"/>
              </w:rPr>
              <w:t>提供以上证明文件扫描件，如涉及网站截图或照片等证明材料,需提供清晰图片。未按要求提供有效证明材料或提供不清晰导致评委无法识别的不计得分</w:t>
            </w:r>
            <w:r>
              <w:rPr>
                <w:rFonts w:hint="eastAsia" w:ascii="宋体" w:eastAsia="宋体" w:cs="仿宋"/>
                <w:color w:val="000000"/>
                <w:szCs w:val="21"/>
                <w:highlight w:val="none"/>
                <w:lang w:val="zh-CN"/>
              </w:rPr>
              <w:t>。</w:t>
            </w:r>
          </w:p>
        </w:tc>
      </w:tr>
      <w:tr w14:paraId="170356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tcPr>
          <w:p w14:paraId="325029C1">
            <w:pPr>
              <w:spacing w:line="360" w:lineRule="exact"/>
              <w:rPr>
                <w:rFonts w:ascii="宋体" w:eastAsia="宋体" w:cs="宋体"/>
                <w:b/>
                <w:bCs/>
                <w:color w:val="0000FF"/>
                <w:sz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BFC2633">
            <w:pPr>
              <w:spacing w:line="360" w:lineRule="exact"/>
              <w:jc w:val="center"/>
              <w:rPr>
                <w:rFonts w:ascii="宋体" w:eastAsia="宋体"/>
                <w:color w:val="000000"/>
                <w:szCs w:val="21"/>
              </w:rPr>
            </w:pPr>
            <w:r>
              <w:rPr>
                <w:rFonts w:hint="eastAsia" w:ascii="宋体" w:eastAsia="宋体"/>
                <w:color w:val="000000"/>
                <w:szCs w:val="21"/>
                <w:lang w:val="en-US" w:eastAsia="zh-CN"/>
              </w:rPr>
              <w:t>3</w:t>
            </w:r>
          </w:p>
        </w:tc>
        <w:tc>
          <w:tcPr>
            <w:tcW w:w="2116" w:type="dxa"/>
            <w:tcBorders>
              <w:top w:val="single" w:color="000000" w:sz="8" w:space="0"/>
              <w:left w:val="single" w:color="000000" w:sz="8" w:space="0"/>
              <w:bottom w:val="single" w:color="000000" w:sz="8" w:space="0"/>
              <w:right w:val="single" w:color="000000" w:sz="8" w:space="0"/>
            </w:tcBorders>
            <w:vAlign w:val="center"/>
          </w:tcPr>
          <w:p w14:paraId="3D1501CB">
            <w:pPr>
              <w:spacing w:line="360" w:lineRule="exact"/>
              <w:jc w:val="center"/>
              <w:rPr>
                <w:rFonts w:ascii="宋体" w:eastAsia="宋体"/>
                <w:color w:val="000000"/>
                <w:szCs w:val="21"/>
              </w:rPr>
            </w:pPr>
            <w:r>
              <w:rPr>
                <w:rFonts w:hint="eastAsia" w:ascii="宋体" w:eastAsia="宋体"/>
                <w:color w:val="000000"/>
                <w:szCs w:val="21"/>
              </w:rPr>
              <w:t>体系认证</w:t>
            </w:r>
          </w:p>
        </w:tc>
        <w:tc>
          <w:tcPr>
            <w:tcW w:w="637" w:type="dxa"/>
            <w:tcBorders>
              <w:top w:val="single" w:color="000000" w:sz="8" w:space="0"/>
              <w:left w:val="single" w:color="000000" w:sz="8" w:space="0"/>
              <w:bottom w:val="single" w:color="000000" w:sz="8" w:space="0"/>
              <w:right w:val="single" w:color="000000" w:sz="8" w:space="0"/>
            </w:tcBorders>
            <w:vAlign w:val="center"/>
          </w:tcPr>
          <w:p w14:paraId="7D544D43">
            <w:pPr>
              <w:spacing w:line="360" w:lineRule="exact"/>
              <w:jc w:val="center"/>
              <w:rPr>
                <w:rFonts w:hint="eastAsia" w:ascii="宋体" w:eastAsia="宋体"/>
                <w:color w:val="000000"/>
                <w:szCs w:val="21"/>
              </w:rPr>
            </w:pPr>
            <w:r>
              <w:rPr>
                <w:rFonts w:hint="eastAsia" w:ascii="宋体" w:eastAsia="宋体"/>
                <w:color w:val="000000"/>
                <w:szCs w:val="21"/>
              </w:rPr>
              <w:t>2</w:t>
            </w:r>
          </w:p>
        </w:tc>
        <w:tc>
          <w:tcPr>
            <w:tcW w:w="5386" w:type="dxa"/>
            <w:tcBorders>
              <w:top w:val="single" w:color="000000" w:sz="8" w:space="0"/>
              <w:left w:val="single" w:color="000000" w:sz="8" w:space="0"/>
              <w:bottom w:val="single" w:color="000000" w:sz="8" w:space="0"/>
              <w:right w:val="single" w:color="000000" w:sz="8" w:space="0"/>
            </w:tcBorders>
          </w:tcPr>
          <w:p w14:paraId="71FD42F3">
            <w:pPr>
              <w:pStyle w:val="163"/>
              <w:spacing w:line="360" w:lineRule="exact"/>
              <w:ind w:firstLine="0" w:firstLineChars="0"/>
              <w:rPr>
                <w:rFonts w:ascii="宋体" w:eastAsia="宋体"/>
                <w:color w:val="000000"/>
                <w:szCs w:val="21"/>
                <w:highlight w:val="none"/>
              </w:rPr>
            </w:pPr>
            <w:r>
              <w:rPr>
                <w:rFonts w:hint="eastAsia" w:ascii="宋体" w:eastAsia="宋体"/>
                <w:color w:val="000000"/>
                <w:szCs w:val="21"/>
                <w:highlight w:val="none"/>
              </w:rPr>
              <w:t>（一）评分内容：</w:t>
            </w:r>
          </w:p>
          <w:p w14:paraId="72EC81C8">
            <w:pPr>
              <w:autoSpaceDE w:val="0"/>
              <w:autoSpaceDN w:val="0"/>
              <w:adjustRightInd w:val="0"/>
              <w:spacing w:line="360" w:lineRule="exact"/>
              <w:jc w:val="left"/>
              <w:rPr>
                <w:rFonts w:hint="eastAsia" w:ascii="宋体" w:eastAsia="宋体"/>
                <w:color w:val="000000"/>
                <w:kern w:val="0"/>
                <w:szCs w:val="21"/>
                <w:highlight w:val="none"/>
                <w:lang w:val="en-US" w:eastAsia="zh-CN"/>
              </w:rPr>
            </w:pPr>
            <w:r>
              <w:rPr>
                <w:rFonts w:hint="eastAsia" w:ascii="宋体" w:eastAsia="宋体"/>
                <w:color w:val="000000"/>
                <w:kern w:val="0"/>
                <w:szCs w:val="21"/>
                <w:highlight w:val="none"/>
                <w:lang w:val="en-US" w:eastAsia="zh-CN"/>
              </w:rPr>
              <w:t>1.</w:t>
            </w:r>
            <w:r>
              <w:rPr>
                <w:rFonts w:hint="eastAsia" w:ascii="宋体" w:eastAsia="宋体"/>
                <w:color w:val="000000"/>
                <w:kern w:val="0"/>
                <w:szCs w:val="21"/>
                <w:highlight w:val="none"/>
              </w:rPr>
              <w:t>投标人</w:t>
            </w:r>
            <w:r>
              <w:rPr>
                <w:rFonts w:hint="eastAsia"/>
                <w:lang w:val="en-US" w:eastAsia="zh-CN"/>
              </w:rPr>
              <w:t>或</w:t>
            </w:r>
            <w:r>
              <w:rPr>
                <w:rFonts w:hint="eastAsia" w:ascii="宋体" w:eastAsia="宋体"/>
                <w:szCs w:val="21"/>
              </w:rPr>
              <w:t>任一项投标产品制造商</w:t>
            </w:r>
            <w:r>
              <w:rPr>
                <w:rFonts w:hint="eastAsia" w:ascii="宋体" w:eastAsia="宋体"/>
                <w:color w:val="000000"/>
                <w:kern w:val="0"/>
                <w:szCs w:val="21"/>
                <w:highlight w:val="none"/>
              </w:rPr>
              <w:t>具有</w:t>
            </w:r>
            <w:r>
              <w:rPr>
                <w:rFonts w:hint="eastAsia" w:ascii="宋体" w:eastAsia="宋体"/>
                <w:color w:val="000000"/>
                <w:szCs w:val="21"/>
              </w:rPr>
              <w:t>质量管理体系认证证书</w:t>
            </w:r>
            <w:r>
              <w:rPr>
                <w:rFonts w:hint="eastAsia" w:ascii="宋体" w:eastAsia="宋体"/>
                <w:color w:val="000000"/>
                <w:kern w:val="0"/>
                <w:szCs w:val="21"/>
                <w:highlight w:val="none"/>
                <w:lang w:val="en-US" w:eastAsia="zh-CN"/>
              </w:rPr>
              <w:t>的得33分；</w:t>
            </w:r>
          </w:p>
          <w:p w14:paraId="4C4E6AB4">
            <w:pPr>
              <w:autoSpaceDE w:val="0"/>
              <w:autoSpaceDN w:val="0"/>
              <w:adjustRightInd w:val="0"/>
              <w:spacing w:line="360" w:lineRule="exact"/>
              <w:jc w:val="left"/>
              <w:rPr>
                <w:rFonts w:hint="eastAsia" w:ascii="宋体" w:eastAsia="宋体"/>
                <w:color w:val="000000"/>
                <w:kern w:val="0"/>
                <w:szCs w:val="21"/>
                <w:highlight w:val="none"/>
                <w:lang w:val="en-US" w:eastAsia="zh-CN"/>
              </w:rPr>
            </w:pPr>
            <w:r>
              <w:rPr>
                <w:rFonts w:hint="eastAsia" w:ascii="宋体" w:eastAsia="宋体"/>
                <w:color w:val="000000"/>
                <w:kern w:val="0"/>
                <w:szCs w:val="21"/>
                <w:highlight w:val="none"/>
                <w:lang w:val="en-US" w:eastAsia="zh-CN"/>
              </w:rPr>
              <w:t>2.</w:t>
            </w:r>
            <w:r>
              <w:rPr>
                <w:rFonts w:hint="eastAsia" w:ascii="宋体" w:eastAsia="宋体"/>
                <w:color w:val="000000"/>
                <w:kern w:val="0"/>
                <w:szCs w:val="21"/>
                <w:highlight w:val="none"/>
              </w:rPr>
              <w:t>投标人</w:t>
            </w:r>
            <w:r>
              <w:rPr>
                <w:rFonts w:hint="eastAsia"/>
                <w:lang w:val="en-US" w:eastAsia="zh-CN"/>
              </w:rPr>
              <w:t>或</w:t>
            </w:r>
            <w:r>
              <w:rPr>
                <w:rFonts w:hint="eastAsia" w:ascii="宋体" w:eastAsia="宋体"/>
                <w:szCs w:val="21"/>
              </w:rPr>
              <w:t>任一项投标产品制造商</w:t>
            </w:r>
            <w:r>
              <w:rPr>
                <w:rFonts w:hint="eastAsia" w:ascii="宋体" w:eastAsia="宋体"/>
                <w:color w:val="000000"/>
                <w:kern w:val="0"/>
                <w:szCs w:val="21"/>
                <w:highlight w:val="none"/>
              </w:rPr>
              <w:t>具</w:t>
            </w:r>
            <w:r>
              <w:rPr>
                <w:rFonts w:hint="eastAsia" w:ascii="宋体" w:eastAsia="宋体"/>
                <w:color w:val="000000"/>
                <w:kern w:val="0"/>
                <w:szCs w:val="21"/>
                <w:highlight w:val="none"/>
                <w:lang w:val="en-US" w:eastAsia="zh-CN"/>
              </w:rPr>
              <w:t>有</w:t>
            </w:r>
            <w:r>
              <w:rPr>
                <w:rFonts w:hint="eastAsia" w:ascii="宋体" w:eastAsia="宋体"/>
                <w:color w:val="000000"/>
                <w:szCs w:val="21"/>
              </w:rPr>
              <w:t>环境管理体系认证证书</w:t>
            </w:r>
            <w:r>
              <w:rPr>
                <w:rFonts w:hint="eastAsia" w:ascii="宋体" w:eastAsia="宋体"/>
                <w:color w:val="000000"/>
                <w:kern w:val="0"/>
                <w:szCs w:val="21"/>
                <w:highlight w:val="none"/>
                <w:lang w:val="en-US" w:eastAsia="zh-CN"/>
              </w:rPr>
              <w:t>的得33分；</w:t>
            </w:r>
          </w:p>
          <w:p w14:paraId="2134EE69">
            <w:pPr>
              <w:autoSpaceDE w:val="0"/>
              <w:autoSpaceDN w:val="0"/>
              <w:adjustRightInd w:val="0"/>
              <w:spacing w:line="360" w:lineRule="exact"/>
              <w:jc w:val="left"/>
              <w:rPr>
                <w:rFonts w:hint="eastAsia" w:ascii="宋体" w:eastAsia="宋体"/>
                <w:color w:val="000000"/>
                <w:kern w:val="0"/>
                <w:szCs w:val="21"/>
                <w:highlight w:val="none"/>
                <w:lang w:val="en-US" w:eastAsia="zh-CN"/>
              </w:rPr>
            </w:pPr>
            <w:r>
              <w:rPr>
                <w:rFonts w:hint="eastAsia" w:ascii="宋体" w:eastAsia="宋体"/>
                <w:color w:val="000000"/>
                <w:kern w:val="0"/>
                <w:szCs w:val="21"/>
                <w:highlight w:val="none"/>
                <w:lang w:val="en-US" w:eastAsia="zh-CN"/>
              </w:rPr>
              <w:t>3.</w:t>
            </w:r>
            <w:r>
              <w:rPr>
                <w:rFonts w:hint="eastAsia" w:ascii="宋体" w:eastAsia="宋体"/>
                <w:color w:val="000000"/>
                <w:kern w:val="0"/>
                <w:szCs w:val="21"/>
                <w:highlight w:val="none"/>
              </w:rPr>
              <w:t>投标人</w:t>
            </w:r>
            <w:r>
              <w:rPr>
                <w:rFonts w:hint="eastAsia"/>
                <w:lang w:val="en-US" w:eastAsia="zh-CN"/>
              </w:rPr>
              <w:t>或</w:t>
            </w:r>
            <w:r>
              <w:rPr>
                <w:rFonts w:hint="eastAsia" w:ascii="宋体" w:eastAsia="宋体"/>
                <w:szCs w:val="21"/>
              </w:rPr>
              <w:t>任一项投标产品制造商</w:t>
            </w:r>
            <w:r>
              <w:rPr>
                <w:rFonts w:hint="eastAsia" w:ascii="宋体" w:eastAsia="宋体"/>
                <w:color w:val="000000"/>
                <w:kern w:val="0"/>
                <w:szCs w:val="21"/>
                <w:highlight w:val="none"/>
              </w:rPr>
              <w:t>具</w:t>
            </w:r>
            <w:r>
              <w:rPr>
                <w:rFonts w:hint="eastAsia" w:ascii="宋体" w:eastAsia="宋体"/>
                <w:color w:val="000000"/>
                <w:kern w:val="0"/>
                <w:szCs w:val="21"/>
                <w:highlight w:val="none"/>
                <w:lang w:val="en-US" w:eastAsia="zh-CN"/>
              </w:rPr>
              <w:t>有</w:t>
            </w:r>
            <w:r>
              <w:rPr>
                <w:rFonts w:hint="eastAsia" w:ascii="宋体" w:eastAsia="宋体"/>
                <w:color w:val="000000"/>
                <w:szCs w:val="21"/>
              </w:rPr>
              <w:t>职业健康安全管理体系认证证书</w:t>
            </w:r>
            <w:r>
              <w:rPr>
                <w:rFonts w:hint="eastAsia" w:ascii="宋体" w:eastAsia="宋体"/>
                <w:color w:val="000000"/>
                <w:szCs w:val="21"/>
                <w:lang w:val="en-US" w:eastAsia="zh-CN"/>
              </w:rPr>
              <w:t>的</w:t>
            </w:r>
            <w:r>
              <w:rPr>
                <w:rFonts w:hint="eastAsia" w:ascii="宋体" w:eastAsia="宋体"/>
                <w:color w:val="000000"/>
                <w:kern w:val="0"/>
                <w:szCs w:val="21"/>
                <w:highlight w:val="none"/>
                <w:lang w:val="en-US" w:eastAsia="zh-CN"/>
              </w:rPr>
              <w:t>得34分；</w:t>
            </w:r>
          </w:p>
          <w:p w14:paraId="07EF2F54">
            <w:pPr>
              <w:autoSpaceDE w:val="0"/>
              <w:autoSpaceDN w:val="0"/>
              <w:adjustRightInd w:val="0"/>
              <w:spacing w:line="360" w:lineRule="exact"/>
              <w:jc w:val="left"/>
              <w:rPr>
                <w:rFonts w:ascii="宋体" w:eastAsia="宋体"/>
                <w:color w:val="000000"/>
                <w:kern w:val="0"/>
                <w:szCs w:val="21"/>
                <w:highlight w:val="none"/>
                <w:lang w:val="en-US" w:eastAsia="zh-CN"/>
              </w:rPr>
            </w:pPr>
            <w:r>
              <w:rPr>
                <w:rFonts w:hint="eastAsia" w:ascii="宋体" w:eastAsia="宋体"/>
                <w:color w:val="000000"/>
                <w:kern w:val="0"/>
                <w:szCs w:val="21"/>
                <w:highlight w:val="none"/>
                <w:lang w:val="en-US" w:eastAsia="zh-CN"/>
              </w:rPr>
              <w:t>以上累计最高得100分。</w:t>
            </w:r>
          </w:p>
          <w:p w14:paraId="3F180E41">
            <w:pPr>
              <w:autoSpaceDE w:val="0"/>
              <w:autoSpaceDN w:val="0"/>
              <w:adjustRightInd w:val="0"/>
              <w:spacing w:line="360" w:lineRule="exact"/>
              <w:jc w:val="left"/>
              <w:rPr>
                <w:rFonts w:ascii="宋体" w:eastAsia="宋体"/>
                <w:color w:val="000000"/>
                <w:kern w:val="0"/>
                <w:szCs w:val="21"/>
                <w:highlight w:val="none"/>
              </w:rPr>
            </w:pPr>
            <w:r>
              <w:rPr>
                <w:rFonts w:hint="eastAsia" w:ascii="宋体" w:eastAsia="宋体"/>
                <w:color w:val="000000"/>
                <w:kern w:val="0"/>
                <w:szCs w:val="21"/>
                <w:highlight w:val="none"/>
              </w:rPr>
              <w:t>（二）评分依据：</w:t>
            </w:r>
          </w:p>
          <w:p w14:paraId="33B9942D">
            <w:pPr>
              <w:autoSpaceDE w:val="0"/>
              <w:autoSpaceDN w:val="0"/>
              <w:adjustRightInd w:val="0"/>
              <w:spacing w:line="360" w:lineRule="exact"/>
              <w:jc w:val="left"/>
              <w:rPr>
                <w:rFonts w:ascii="宋体" w:eastAsia="宋体" w:cs="仿宋"/>
                <w:color w:val="000000"/>
                <w:szCs w:val="21"/>
                <w:highlight w:val="none"/>
                <w:lang w:val="zh-CN"/>
              </w:rPr>
            </w:pPr>
            <w:r>
              <w:rPr>
                <w:rFonts w:hint="eastAsia" w:ascii="宋体" w:eastAsia="宋体"/>
                <w:color w:val="000000"/>
                <w:kern w:val="0"/>
                <w:szCs w:val="21"/>
                <w:highlight w:val="none"/>
              </w:rPr>
              <w:t>1. 提供有效认证证书</w:t>
            </w:r>
            <w:r>
              <w:rPr>
                <w:rFonts w:hint="eastAsia" w:ascii="宋体" w:eastAsia="宋体"/>
                <w:color w:val="000000"/>
                <w:kern w:val="0"/>
                <w:szCs w:val="21"/>
                <w:highlight w:val="none"/>
                <w:lang w:val="en-US" w:eastAsia="zh-CN"/>
              </w:rPr>
              <w:t>及</w:t>
            </w:r>
            <w:r>
              <w:rPr>
                <w:rFonts w:hint="eastAsia" w:ascii="宋体" w:eastAsia="宋体"/>
                <w:color w:val="000000"/>
                <w:kern w:val="0"/>
                <w:szCs w:val="21"/>
                <w:highlight w:val="none"/>
              </w:rPr>
              <w:t>证书官网或权威机构【如：全国认证认可信息公共服务平台（cx.cnca.cn）】认证信息查询截图（截图需显示证书状态为有效）。</w:t>
            </w:r>
            <w:r>
              <w:rPr>
                <w:rFonts w:hint="eastAsia" w:ascii="宋体" w:eastAsia="宋体" w:cs="仿宋"/>
                <w:color w:val="000000"/>
                <w:szCs w:val="21"/>
                <w:highlight w:val="none"/>
                <w:lang w:val="zh-CN"/>
              </w:rPr>
              <w:t>相关证书在公开渠道无法查询的，投标人需提供颁发部门或者监管机构的证明材料，证明证书真实有效且为合法机构颁发；</w:t>
            </w:r>
          </w:p>
          <w:p w14:paraId="58DA3F00">
            <w:pPr>
              <w:autoSpaceDE w:val="0"/>
              <w:autoSpaceDN w:val="0"/>
              <w:adjustRightInd w:val="0"/>
              <w:spacing w:line="360" w:lineRule="exact"/>
              <w:jc w:val="left"/>
              <w:rPr>
                <w:rFonts w:hint="eastAsia" w:ascii="宋体" w:cs="宋体"/>
                <w:color w:val="000000"/>
                <w:sz w:val="21"/>
                <w:szCs w:val="21"/>
                <w:highlight w:val="none"/>
                <w:lang w:val="zh-CN"/>
              </w:rPr>
            </w:pPr>
            <w:r>
              <w:rPr>
                <w:rFonts w:hint="eastAsia" w:ascii="宋体" w:eastAsia="宋体"/>
                <w:color w:val="000000"/>
                <w:szCs w:val="21"/>
                <w:highlight w:val="none"/>
                <w:lang w:val="en-US" w:eastAsia="zh-CN"/>
              </w:rPr>
              <w:t>2.</w:t>
            </w:r>
            <w:r>
              <w:rPr>
                <w:rFonts w:hint="eastAsia" w:ascii="宋体" w:eastAsia="宋体"/>
                <w:color w:val="000000"/>
                <w:szCs w:val="21"/>
                <w:highlight w:val="none"/>
              </w:rPr>
              <w:t>如投标人为新成立企业且成立时间不足</w:t>
            </w:r>
            <w:r>
              <w:rPr>
                <w:rFonts w:hint="eastAsia" w:ascii="宋体" w:eastAsia="宋体"/>
                <w:color w:val="000000"/>
                <w:szCs w:val="21"/>
                <w:highlight w:val="none"/>
                <w:lang w:eastAsia="zh-CN"/>
              </w:rPr>
              <w:t>以申请认证或未达到</w:t>
            </w:r>
            <w:r>
              <w:rPr>
                <w:rFonts w:hint="eastAsia" w:ascii="宋体" w:eastAsia="宋体"/>
                <w:color w:val="000000"/>
                <w:szCs w:val="21"/>
                <w:highlight w:val="none"/>
              </w:rPr>
              <w:t>认证申请试运行期限的，提供情况说明，</w:t>
            </w:r>
            <w:r>
              <w:rPr>
                <w:rFonts w:hint="eastAsia" w:ascii="宋体" w:cs="宋体"/>
                <w:color w:val="000000"/>
                <w:szCs w:val="21"/>
                <w:highlight w:val="none"/>
                <w:lang w:val="zh-CN"/>
              </w:rPr>
              <w:t>亦视为满足评分要求</w:t>
            </w:r>
            <w:r>
              <w:rPr>
                <w:rFonts w:hint="eastAsia" w:ascii="宋体" w:cs="宋体"/>
                <w:color w:val="000000"/>
                <w:sz w:val="21"/>
                <w:szCs w:val="21"/>
                <w:highlight w:val="none"/>
                <w:lang w:val="zh-CN"/>
              </w:rPr>
              <w:t>；</w:t>
            </w:r>
          </w:p>
          <w:p w14:paraId="26A8697E">
            <w:pPr>
              <w:spacing w:line="360" w:lineRule="exact"/>
              <w:rPr>
                <w:rFonts w:ascii="宋体" w:eastAsia="宋体"/>
                <w:color w:val="000000"/>
                <w:szCs w:val="21"/>
              </w:rPr>
            </w:pPr>
            <w:r>
              <w:rPr>
                <w:rFonts w:hint="eastAsia" w:ascii="宋体" w:eastAsia="宋体" w:cs="宋体"/>
                <w:color w:val="000000"/>
                <w:sz w:val="21"/>
                <w:szCs w:val="21"/>
                <w:highlight w:val="none"/>
                <w:lang w:val="en-US" w:eastAsia="zh-CN"/>
              </w:rPr>
              <w:t>3.</w:t>
            </w:r>
            <w:r>
              <w:rPr>
                <w:rFonts w:hint="eastAsia" w:ascii="宋体" w:eastAsia="宋体"/>
                <w:color w:val="000000"/>
                <w:szCs w:val="21"/>
                <w:highlight w:val="none"/>
              </w:rPr>
              <w:t>提供以上证明文件扫描件，如涉及网站截图或照片等证明材料,需提供清晰图片。未按要求提供有效证明材料或提供不清晰导致评委无法识别的不计得分</w:t>
            </w:r>
            <w:r>
              <w:rPr>
                <w:rFonts w:hint="eastAsia" w:ascii="宋体" w:eastAsia="宋体" w:cs="仿宋"/>
                <w:color w:val="000000"/>
                <w:szCs w:val="21"/>
                <w:highlight w:val="none"/>
                <w:lang w:val="zh-CN"/>
              </w:rPr>
              <w:t>。</w:t>
            </w:r>
          </w:p>
        </w:tc>
      </w:tr>
      <w:tr w14:paraId="3C44A8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tcPr>
          <w:p w14:paraId="52D058F2">
            <w:pPr>
              <w:spacing w:line="360" w:lineRule="exact"/>
              <w:rPr>
                <w:rFonts w:ascii="宋体" w:eastAsia="宋体" w:cs="宋体"/>
                <w:b/>
                <w:bCs/>
                <w:color w:val="0000FF"/>
                <w:sz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D704603">
            <w:pPr>
              <w:spacing w:line="360" w:lineRule="exact"/>
              <w:jc w:val="center"/>
              <w:rPr>
                <w:rFonts w:hint="eastAsia" w:ascii="宋体" w:eastAsia="宋体"/>
                <w:szCs w:val="21"/>
                <w:lang w:eastAsia="zh-CN"/>
              </w:rPr>
            </w:pPr>
            <w:r>
              <w:rPr>
                <w:rFonts w:hint="eastAsia" w:ascii="宋体" w:eastAsia="宋体"/>
                <w:szCs w:val="21"/>
                <w:lang w:val="en-US" w:eastAsia="zh-CN"/>
              </w:rPr>
              <w:t>4</w:t>
            </w:r>
          </w:p>
        </w:tc>
        <w:tc>
          <w:tcPr>
            <w:tcW w:w="2116" w:type="dxa"/>
            <w:tcBorders>
              <w:top w:val="single" w:color="000000" w:sz="8" w:space="0"/>
              <w:left w:val="single" w:color="000000" w:sz="8" w:space="0"/>
              <w:bottom w:val="single" w:color="000000" w:sz="8" w:space="0"/>
              <w:right w:val="single" w:color="000000" w:sz="8" w:space="0"/>
            </w:tcBorders>
            <w:vAlign w:val="center"/>
          </w:tcPr>
          <w:p w14:paraId="6DE8DF29">
            <w:pPr>
              <w:spacing w:line="360" w:lineRule="exact"/>
              <w:jc w:val="center"/>
              <w:rPr>
                <w:rFonts w:ascii="宋体" w:eastAsia="宋体"/>
                <w:szCs w:val="21"/>
              </w:rPr>
            </w:pPr>
            <w:r>
              <w:rPr>
                <w:rFonts w:hint="eastAsia" w:ascii="宋体" w:eastAsia="宋体"/>
                <w:szCs w:val="21"/>
              </w:rPr>
              <w:t>技术团队实力</w:t>
            </w:r>
          </w:p>
        </w:tc>
        <w:tc>
          <w:tcPr>
            <w:tcW w:w="637" w:type="dxa"/>
            <w:tcBorders>
              <w:top w:val="single" w:color="000000" w:sz="8" w:space="0"/>
              <w:left w:val="single" w:color="000000" w:sz="8" w:space="0"/>
              <w:bottom w:val="single" w:color="000000" w:sz="8" w:space="0"/>
              <w:right w:val="single" w:color="000000" w:sz="8" w:space="0"/>
            </w:tcBorders>
            <w:vAlign w:val="center"/>
          </w:tcPr>
          <w:p w14:paraId="74F0D7D8">
            <w:pPr>
              <w:spacing w:line="360" w:lineRule="exact"/>
              <w:jc w:val="center"/>
              <w:rPr>
                <w:rFonts w:ascii="宋体" w:eastAsia="宋体"/>
                <w:szCs w:val="21"/>
              </w:rPr>
            </w:pPr>
            <w:r>
              <w:rPr>
                <w:rFonts w:hint="eastAsia" w:ascii="宋体" w:eastAsia="宋体"/>
                <w:szCs w:val="21"/>
              </w:rPr>
              <w:t>10</w:t>
            </w:r>
          </w:p>
        </w:tc>
        <w:tc>
          <w:tcPr>
            <w:tcW w:w="5386" w:type="dxa"/>
            <w:tcBorders>
              <w:top w:val="single" w:color="000000" w:sz="8" w:space="0"/>
              <w:left w:val="single" w:color="000000" w:sz="8" w:space="0"/>
              <w:bottom w:val="single" w:color="000000" w:sz="8" w:space="0"/>
              <w:right w:val="single" w:color="000000" w:sz="8" w:space="0"/>
            </w:tcBorders>
          </w:tcPr>
          <w:p w14:paraId="79CFE3FD">
            <w:pPr>
              <w:pStyle w:val="163"/>
              <w:spacing w:line="360" w:lineRule="exact"/>
              <w:ind w:firstLine="0" w:firstLineChars="0"/>
              <w:rPr>
                <w:rFonts w:ascii="宋体" w:eastAsia="宋体"/>
                <w:color w:val="000000"/>
                <w:szCs w:val="21"/>
                <w:highlight w:val="none"/>
              </w:rPr>
            </w:pPr>
            <w:r>
              <w:rPr>
                <w:rFonts w:hint="eastAsia" w:ascii="宋体" w:eastAsia="宋体"/>
                <w:color w:val="000000"/>
                <w:szCs w:val="21"/>
                <w:highlight w:val="none"/>
              </w:rPr>
              <w:t>（一）评分内容：</w:t>
            </w:r>
          </w:p>
          <w:p w14:paraId="68DE388A">
            <w:pPr>
              <w:pStyle w:val="163"/>
              <w:spacing w:line="360" w:lineRule="exact"/>
              <w:ind w:firstLine="0" w:firstLineChars="0"/>
              <w:rPr>
                <w:rFonts w:hint="eastAsia" w:ascii="宋体" w:eastAsia="宋体"/>
                <w:color w:val="000000"/>
                <w:szCs w:val="21"/>
                <w:highlight w:val="none"/>
                <w:lang w:val="en-US" w:eastAsia="zh-CN"/>
              </w:rPr>
            </w:pPr>
            <w:r>
              <w:rPr>
                <w:rFonts w:hint="eastAsia" w:ascii="宋体" w:eastAsia="宋体" w:cs="宋体"/>
                <w:color w:val="000000"/>
                <w:szCs w:val="21"/>
                <w:highlight w:val="none"/>
              </w:rPr>
              <w:t>拟安排的项目团队成员</w:t>
            </w:r>
            <w:r>
              <w:rPr>
                <w:rFonts w:hint="eastAsia" w:ascii="宋体" w:eastAsia="宋体"/>
                <w:color w:val="000000"/>
                <w:szCs w:val="21"/>
                <w:highlight w:val="none"/>
              </w:rPr>
              <w:t>需为投标人正式聘任员工，否则本项不得分。在此基础上，按以下标准评分：</w:t>
            </w:r>
          </w:p>
          <w:p w14:paraId="5E17C188">
            <w:pPr>
              <w:pStyle w:val="163"/>
              <w:numPr>
                <w:ilvl w:val="0"/>
                <w:numId w:val="7"/>
              </w:numPr>
              <w:spacing w:line="360" w:lineRule="exact"/>
              <w:ind w:firstLine="0" w:firstLineChars="0"/>
              <w:rPr>
                <w:rFonts w:hint="eastAsia" w:ascii="宋体" w:eastAsia="宋体"/>
                <w:color w:val="000000"/>
                <w:szCs w:val="21"/>
                <w:highlight w:val="none"/>
                <w:lang w:val="en-US" w:eastAsia="zh-CN"/>
              </w:rPr>
            </w:pPr>
            <w:r>
              <w:rPr>
                <w:rFonts w:hint="eastAsia" w:ascii="宋体" w:eastAsia="宋体"/>
                <w:color w:val="000000"/>
                <w:szCs w:val="21"/>
                <w:highlight w:val="none"/>
                <w:lang w:val="en-US" w:eastAsia="zh-CN"/>
              </w:rPr>
              <w:t>主要技术人员</w:t>
            </w:r>
          </w:p>
          <w:p w14:paraId="4428F1ED">
            <w:pPr>
              <w:pStyle w:val="163"/>
              <w:spacing w:line="360" w:lineRule="exact"/>
              <w:ind w:firstLine="0" w:firstLineChars="0"/>
              <w:rPr>
                <w:rFonts w:hint="eastAsia" w:ascii="宋体" w:eastAsia="宋体"/>
                <w:color w:val="000000"/>
                <w:szCs w:val="21"/>
                <w:highlight w:val="none"/>
              </w:rPr>
            </w:pPr>
            <w:r>
              <w:rPr>
                <w:rFonts w:hint="eastAsia" w:ascii="宋体" w:eastAsia="宋体"/>
                <w:color w:val="000000"/>
                <w:szCs w:val="21"/>
                <w:highlight w:val="none"/>
              </w:rPr>
              <w:t>具有船舶类</w:t>
            </w:r>
            <w:r>
              <w:rPr>
                <w:rFonts w:hint="eastAsia" w:ascii="宋体" w:eastAsia="宋体"/>
                <w:color w:val="000000"/>
                <w:szCs w:val="21"/>
                <w:highlight w:val="none"/>
                <w:lang w:val="en-US" w:eastAsia="zh-CN"/>
              </w:rPr>
              <w:t>相关</w:t>
            </w:r>
            <w:r>
              <w:rPr>
                <w:rFonts w:hint="eastAsia" w:ascii="宋体" w:eastAsia="宋体"/>
                <w:color w:val="000000"/>
                <w:szCs w:val="21"/>
                <w:highlight w:val="none"/>
              </w:rPr>
              <w:t>专业高级及以上职称证书的，每</w:t>
            </w:r>
            <w:r>
              <w:rPr>
                <w:rFonts w:hint="eastAsia" w:ascii="宋体"/>
                <w:color w:val="000000"/>
                <w:szCs w:val="21"/>
                <w:highlight w:val="none"/>
                <w:lang w:val="en-US" w:eastAsia="zh-CN"/>
              </w:rPr>
              <w:t>提供</w:t>
            </w:r>
            <w:r>
              <w:rPr>
                <w:rFonts w:hint="eastAsia" w:ascii="宋体" w:eastAsia="宋体"/>
                <w:color w:val="000000"/>
                <w:szCs w:val="21"/>
                <w:highlight w:val="none"/>
              </w:rPr>
              <w:t>一人得</w:t>
            </w:r>
            <w:r>
              <w:rPr>
                <w:rFonts w:hint="eastAsia" w:ascii="宋体"/>
                <w:color w:val="000000"/>
                <w:szCs w:val="21"/>
                <w:highlight w:val="none"/>
                <w:lang w:val="en-US" w:eastAsia="zh-CN"/>
              </w:rPr>
              <w:t>10</w:t>
            </w:r>
            <w:r>
              <w:rPr>
                <w:rFonts w:hint="eastAsia" w:ascii="宋体" w:eastAsia="宋体"/>
                <w:color w:val="000000"/>
                <w:szCs w:val="21"/>
                <w:highlight w:val="none"/>
              </w:rPr>
              <w:t>分，</w:t>
            </w:r>
            <w:r>
              <w:rPr>
                <w:rFonts w:hint="eastAsia" w:ascii="宋体" w:eastAsia="宋体"/>
                <w:color w:val="000000"/>
                <w:szCs w:val="21"/>
                <w:highlight w:val="none"/>
                <w:lang w:val="en-US" w:eastAsia="zh-CN"/>
              </w:rPr>
              <w:t>最高</w:t>
            </w:r>
            <w:r>
              <w:rPr>
                <w:rFonts w:hint="eastAsia" w:ascii="宋体"/>
                <w:color w:val="000000"/>
                <w:szCs w:val="21"/>
                <w:highlight w:val="none"/>
                <w:lang w:val="en-US" w:eastAsia="zh-CN"/>
              </w:rPr>
              <w:t>得50</w:t>
            </w:r>
            <w:r>
              <w:rPr>
                <w:rFonts w:hint="eastAsia" w:ascii="宋体" w:eastAsia="宋体"/>
                <w:color w:val="000000"/>
                <w:szCs w:val="21"/>
                <w:highlight w:val="none"/>
              </w:rPr>
              <w:t>分。</w:t>
            </w:r>
          </w:p>
          <w:p w14:paraId="128E21CE">
            <w:pPr>
              <w:pStyle w:val="163"/>
              <w:spacing w:line="360" w:lineRule="exact"/>
              <w:ind w:firstLine="0" w:firstLineChars="0"/>
              <w:rPr>
                <w:rFonts w:ascii="宋体" w:eastAsia="宋体"/>
                <w:color w:val="000000"/>
                <w:szCs w:val="21"/>
                <w:highlight w:val="none"/>
                <w:lang w:val="en-US" w:eastAsia="zh-CN"/>
              </w:rPr>
            </w:pPr>
            <w:r>
              <w:rPr>
                <w:rFonts w:hint="eastAsia" w:ascii="宋体"/>
                <w:color w:val="000000"/>
                <w:szCs w:val="21"/>
                <w:highlight w:val="none"/>
                <w:lang w:val="en-US" w:eastAsia="zh-CN"/>
              </w:rPr>
              <w:t>2</w:t>
            </w:r>
            <w:r>
              <w:rPr>
                <w:rFonts w:hint="eastAsia" w:ascii="宋体" w:eastAsia="宋体"/>
                <w:color w:val="000000"/>
                <w:szCs w:val="21"/>
                <w:highlight w:val="none"/>
                <w:lang w:val="en-US" w:eastAsia="zh-CN"/>
              </w:rPr>
              <w:t>.其他团队成员</w:t>
            </w:r>
            <w:r>
              <w:rPr>
                <w:rFonts w:hint="eastAsia" w:ascii="宋体"/>
                <w:color w:val="000000"/>
                <w:szCs w:val="21"/>
                <w:highlight w:val="none"/>
                <w:lang w:val="en-US" w:eastAsia="zh-CN"/>
              </w:rPr>
              <w:t>（</w:t>
            </w:r>
            <w:r>
              <w:rPr>
                <w:rFonts w:hint="eastAsia" w:ascii="宋体" w:eastAsia="宋体"/>
                <w:color w:val="000000"/>
                <w:szCs w:val="21"/>
                <w:highlight w:val="none"/>
                <w:lang w:val="en-US" w:eastAsia="zh-CN"/>
              </w:rPr>
              <w:t>主要技术人员</w:t>
            </w:r>
            <w:r>
              <w:rPr>
                <w:rFonts w:hint="eastAsia" w:ascii="宋体"/>
                <w:color w:val="000000"/>
                <w:szCs w:val="21"/>
                <w:highlight w:val="none"/>
                <w:lang w:val="en-US" w:eastAsia="zh-CN"/>
              </w:rPr>
              <w:t>除外）</w:t>
            </w:r>
          </w:p>
          <w:p w14:paraId="5C43A38C">
            <w:pPr>
              <w:pStyle w:val="163"/>
              <w:spacing w:line="360" w:lineRule="exact"/>
              <w:ind w:firstLine="0" w:firstLineChars="0"/>
              <w:rPr>
                <w:rFonts w:hint="eastAsia" w:ascii="宋体" w:eastAsia="宋体"/>
                <w:color w:val="000000"/>
                <w:szCs w:val="21"/>
                <w:highlight w:val="none"/>
              </w:rPr>
            </w:pPr>
            <w:r>
              <w:rPr>
                <w:rFonts w:hint="eastAsia" w:ascii="宋体" w:eastAsia="宋体"/>
                <w:color w:val="000000"/>
                <w:szCs w:val="21"/>
                <w:highlight w:val="none"/>
              </w:rPr>
              <w:t>具有船舶类</w:t>
            </w:r>
            <w:r>
              <w:rPr>
                <w:rFonts w:hint="eastAsia" w:ascii="宋体" w:eastAsia="宋体"/>
                <w:color w:val="000000"/>
                <w:szCs w:val="21"/>
                <w:highlight w:val="none"/>
                <w:lang w:val="en-US" w:eastAsia="zh-CN"/>
              </w:rPr>
              <w:t>相关</w:t>
            </w:r>
            <w:r>
              <w:rPr>
                <w:rFonts w:hint="eastAsia" w:ascii="宋体" w:eastAsia="宋体"/>
                <w:color w:val="000000"/>
                <w:szCs w:val="21"/>
                <w:highlight w:val="none"/>
              </w:rPr>
              <w:t>专业中级及以上职称证书的，每</w:t>
            </w:r>
            <w:r>
              <w:rPr>
                <w:rFonts w:hint="eastAsia" w:ascii="宋体"/>
                <w:color w:val="000000"/>
                <w:szCs w:val="21"/>
                <w:highlight w:val="none"/>
                <w:lang w:val="en-US" w:eastAsia="zh-CN"/>
              </w:rPr>
              <w:t>提供</w:t>
            </w:r>
            <w:r>
              <w:rPr>
                <w:rFonts w:hint="eastAsia" w:ascii="宋体" w:eastAsia="宋体"/>
                <w:color w:val="000000"/>
                <w:szCs w:val="21"/>
                <w:highlight w:val="none"/>
              </w:rPr>
              <w:t>一人得</w:t>
            </w:r>
            <w:r>
              <w:rPr>
                <w:rFonts w:hint="eastAsia" w:ascii="宋体"/>
                <w:color w:val="000000"/>
                <w:szCs w:val="21"/>
                <w:highlight w:val="none"/>
                <w:lang w:val="en-US" w:eastAsia="zh-CN"/>
              </w:rPr>
              <w:t>5</w:t>
            </w:r>
            <w:r>
              <w:rPr>
                <w:rFonts w:hint="eastAsia" w:ascii="宋体" w:eastAsia="宋体"/>
                <w:color w:val="000000"/>
                <w:szCs w:val="21"/>
                <w:highlight w:val="none"/>
              </w:rPr>
              <w:t>分，</w:t>
            </w:r>
            <w:r>
              <w:rPr>
                <w:rFonts w:hint="eastAsia" w:ascii="宋体" w:eastAsia="宋体"/>
                <w:color w:val="000000"/>
                <w:szCs w:val="21"/>
                <w:highlight w:val="none"/>
                <w:lang w:val="en-US" w:eastAsia="zh-CN"/>
              </w:rPr>
              <w:t>最高</w:t>
            </w:r>
            <w:r>
              <w:rPr>
                <w:rFonts w:hint="eastAsia" w:ascii="宋体"/>
                <w:color w:val="000000"/>
                <w:szCs w:val="21"/>
                <w:highlight w:val="none"/>
                <w:lang w:val="en-US" w:eastAsia="zh-CN"/>
              </w:rPr>
              <w:t>得50</w:t>
            </w:r>
            <w:r>
              <w:rPr>
                <w:rFonts w:hint="eastAsia" w:ascii="宋体" w:eastAsia="宋体"/>
                <w:color w:val="000000"/>
                <w:szCs w:val="21"/>
                <w:highlight w:val="none"/>
              </w:rPr>
              <w:t>分。</w:t>
            </w:r>
          </w:p>
          <w:p w14:paraId="56E2F3FC">
            <w:pPr>
              <w:spacing w:line="360" w:lineRule="exact"/>
              <w:rPr>
                <w:rFonts w:hint="eastAsia" w:ascii="宋体" w:eastAsia="宋体"/>
                <w:color w:val="000000"/>
                <w:szCs w:val="21"/>
                <w:highlight w:val="none"/>
                <w:lang w:val="en-US" w:eastAsia="zh-CN"/>
              </w:rPr>
            </w:pPr>
            <w:r>
              <w:rPr>
                <w:rFonts w:hint="eastAsia" w:ascii="宋体" w:eastAsia="宋体"/>
                <w:color w:val="000000"/>
                <w:szCs w:val="21"/>
                <w:highlight w:val="none"/>
                <w:lang w:val="en-US" w:eastAsia="zh-CN"/>
              </w:rPr>
              <w:t>以上累计最高得</w:t>
            </w:r>
            <w:r>
              <w:rPr>
                <w:rFonts w:hint="eastAsia" w:ascii="宋体"/>
                <w:color w:val="000000"/>
                <w:szCs w:val="21"/>
                <w:highlight w:val="none"/>
                <w:lang w:val="en-US" w:eastAsia="zh-CN"/>
              </w:rPr>
              <w:t>100</w:t>
            </w:r>
            <w:r>
              <w:rPr>
                <w:rFonts w:hint="eastAsia" w:ascii="宋体" w:eastAsia="宋体"/>
                <w:color w:val="000000"/>
                <w:szCs w:val="21"/>
                <w:highlight w:val="none"/>
                <w:lang w:val="en-US" w:eastAsia="zh-CN"/>
              </w:rPr>
              <w:t>分。</w:t>
            </w:r>
          </w:p>
          <w:p w14:paraId="44CA2BE2">
            <w:pPr>
              <w:spacing w:line="360" w:lineRule="exact"/>
              <w:rPr>
                <w:rFonts w:ascii="宋体" w:eastAsia="宋体"/>
                <w:color w:val="000000"/>
                <w:szCs w:val="21"/>
                <w:highlight w:val="none"/>
              </w:rPr>
            </w:pPr>
            <w:r>
              <w:rPr>
                <w:rFonts w:ascii="宋体" w:eastAsia="宋体"/>
                <w:color w:val="000000"/>
                <w:szCs w:val="21"/>
                <w:highlight w:val="none"/>
              </w:rPr>
              <w:t>注：同一人</w:t>
            </w:r>
            <w:r>
              <w:rPr>
                <w:rFonts w:hint="eastAsia" w:ascii="宋体" w:eastAsia="宋体"/>
                <w:color w:val="000000"/>
                <w:szCs w:val="21"/>
                <w:highlight w:val="none"/>
              </w:rPr>
              <w:t>员</w:t>
            </w:r>
            <w:r>
              <w:rPr>
                <w:rFonts w:ascii="宋体" w:eastAsia="宋体"/>
                <w:color w:val="000000"/>
                <w:szCs w:val="21"/>
                <w:highlight w:val="none"/>
              </w:rPr>
              <w:t>不可累计得分，如同一人</w:t>
            </w:r>
            <w:r>
              <w:rPr>
                <w:rFonts w:hint="eastAsia" w:ascii="宋体" w:eastAsia="宋体"/>
                <w:color w:val="000000"/>
                <w:szCs w:val="21"/>
                <w:highlight w:val="none"/>
              </w:rPr>
              <w:t>员</w:t>
            </w:r>
            <w:r>
              <w:rPr>
                <w:rFonts w:ascii="宋体" w:eastAsia="宋体"/>
                <w:color w:val="000000"/>
                <w:szCs w:val="21"/>
                <w:highlight w:val="none"/>
              </w:rPr>
              <w:t>具有上述多个证书的，按得分最优情况计分。</w:t>
            </w:r>
          </w:p>
          <w:p w14:paraId="38A320F1">
            <w:pPr>
              <w:autoSpaceDE w:val="0"/>
              <w:autoSpaceDN w:val="0"/>
              <w:adjustRightInd w:val="0"/>
              <w:spacing w:line="360" w:lineRule="exact"/>
              <w:jc w:val="left"/>
              <w:rPr>
                <w:rFonts w:ascii="宋体" w:eastAsia="宋体"/>
                <w:color w:val="000000"/>
                <w:kern w:val="0"/>
                <w:szCs w:val="21"/>
                <w:highlight w:val="none"/>
              </w:rPr>
            </w:pPr>
            <w:r>
              <w:rPr>
                <w:rFonts w:hint="eastAsia" w:ascii="宋体" w:eastAsia="宋体"/>
                <w:color w:val="000000"/>
                <w:kern w:val="0"/>
                <w:szCs w:val="21"/>
                <w:highlight w:val="none"/>
              </w:rPr>
              <w:t>（二）评分依据：</w:t>
            </w:r>
          </w:p>
          <w:p w14:paraId="3A05C27A">
            <w:pPr>
              <w:pStyle w:val="163"/>
              <w:spacing w:line="360" w:lineRule="exact"/>
              <w:ind w:firstLine="0" w:firstLineChars="0"/>
              <w:rPr>
                <w:rFonts w:ascii="宋体" w:eastAsia="宋体"/>
                <w:color w:val="000000"/>
                <w:szCs w:val="21"/>
                <w:highlight w:val="none"/>
              </w:rPr>
            </w:pPr>
            <w:r>
              <w:rPr>
                <w:rFonts w:hint="eastAsia" w:ascii="宋体" w:eastAsia="宋体"/>
                <w:color w:val="000000"/>
                <w:szCs w:val="21"/>
                <w:highlight w:val="none"/>
              </w:rPr>
              <w:t>1. 提供项目团队成员通过投标单位缴纳的载有</w:t>
            </w:r>
            <w:r>
              <w:rPr>
                <w:rFonts w:hint="eastAsia" w:ascii="宋体" w:eastAsia="宋体" w:cs="宋体"/>
                <w:color w:val="000000"/>
                <w:szCs w:val="21"/>
                <w:highlight w:val="none"/>
              </w:rPr>
              <w:t>社保部门或税务部门</w:t>
            </w:r>
            <w:r>
              <w:rPr>
                <w:rFonts w:hint="eastAsia" w:ascii="宋体" w:eastAsia="宋体"/>
                <w:color w:val="000000"/>
                <w:szCs w:val="21"/>
                <w:highlight w:val="none"/>
              </w:rPr>
              <w:t>公章的近三个月（含</w:t>
            </w:r>
            <w:r>
              <w:rPr>
                <w:rFonts w:hint="eastAsia" w:ascii="宋体" w:eastAsia="宋体"/>
                <w:color w:val="000000"/>
                <w:szCs w:val="21"/>
                <w:highlight w:val="none"/>
                <w:lang w:eastAsia="zh-CN"/>
              </w:rPr>
              <w:t>投</w:t>
            </w:r>
            <w:r>
              <w:rPr>
                <w:rFonts w:hint="eastAsia" w:ascii="宋体" w:eastAsia="宋体"/>
                <w:color w:val="000000"/>
                <w:szCs w:val="21"/>
                <w:highlight w:val="none"/>
              </w:rPr>
              <w:t>标当月）内任意一个月的个人社保证明；如供应商为新成立单位且成立时间不足一个月</w:t>
            </w:r>
            <w:r>
              <w:rPr>
                <w:rFonts w:hint="eastAsia" w:ascii="宋体" w:eastAsia="宋体"/>
                <w:color w:val="000000"/>
                <w:szCs w:val="21"/>
                <w:lang w:eastAsia="zh-CN"/>
              </w:rPr>
              <w:t>或人员入职不足一个月</w:t>
            </w:r>
            <w:r>
              <w:rPr>
                <w:rFonts w:hint="eastAsia" w:ascii="宋体" w:eastAsia="宋体"/>
                <w:color w:val="000000"/>
                <w:szCs w:val="21"/>
                <w:highlight w:val="none"/>
              </w:rPr>
              <w:t>的，</w:t>
            </w:r>
            <w:r>
              <w:rPr>
                <w:rFonts w:hint="eastAsia" w:ascii="宋体" w:eastAsia="宋体" w:cs="宋体"/>
                <w:color w:val="000000"/>
                <w:szCs w:val="21"/>
                <w:highlight w:val="none"/>
              </w:rPr>
              <w:t>可提供加盖公章的情况说明或者证明材料，无需提供相关人员社保，亦视为符合；</w:t>
            </w:r>
            <w:r>
              <w:rPr>
                <w:rFonts w:hint="eastAsia" w:ascii="宋体" w:eastAsia="宋体"/>
                <w:color w:val="000000"/>
                <w:szCs w:val="21"/>
                <w:highlight w:val="none"/>
              </w:rPr>
              <w:t>如为退休返聘人员则提供劳动合同或返聘协议，</w:t>
            </w:r>
            <w:r>
              <w:rPr>
                <w:rFonts w:hint="eastAsia" w:ascii="宋体" w:eastAsia="宋体" w:cs="宋体"/>
                <w:color w:val="000000"/>
                <w:szCs w:val="21"/>
                <w:highlight w:val="none"/>
              </w:rPr>
              <w:t>无需提供相关人员社保，亦视为符合</w:t>
            </w:r>
            <w:r>
              <w:rPr>
                <w:rFonts w:hint="eastAsia" w:ascii="宋体" w:eastAsia="宋体"/>
                <w:color w:val="000000"/>
                <w:szCs w:val="21"/>
                <w:highlight w:val="none"/>
              </w:rPr>
              <w:t>；</w:t>
            </w:r>
          </w:p>
          <w:p w14:paraId="453813F0">
            <w:pPr>
              <w:pStyle w:val="163"/>
              <w:spacing w:line="360" w:lineRule="exact"/>
              <w:ind w:firstLine="0" w:firstLineChars="0"/>
              <w:rPr>
                <w:rFonts w:ascii="宋体" w:eastAsia="宋体"/>
                <w:color w:val="000000"/>
                <w:kern w:val="0"/>
                <w:szCs w:val="21"/>
                <w:highlight w:val="none"/>
              </w:rPr>
            </w:pPr>
            <w:r>
              <w:rPr>
                <w:rFonts w:hint="eastAsia" w:ascii="宋体" w:eastAsia="宋体"/>
                <w:color w:val="000000"/>
                <w:szCs w:val="21"/>
                <w:highlight w:val="none"/>
              </w:rPr>
              <w:t>2. 提供项目团队成员职称证书</w:t>
            </w:r>
            <w:r>
              <w:rPr>
                <w:rFonts w:hint="eastAsia" w:ascii="宋体" w:eastAsia="宋体"/>
                <w:color w:val="000000"/>
                <w:szCs w:val="21"/>
                <w:highlight w:val="none"/>
                <w:lang w:eastAsia="zh-CN"/>
              </w:rPr>
              <w:t>；</w:t>
            </w:r>
          </w:p>
          <w:p w14:paraId="06401A88">
            <w:pPr>
              <w:spacing w:line="360" w:lineRule="exact"/>
              <w:rPr>
                <w:rFonts w:ascii="宋体" w:eastAsia="宋体"/>
                <w:szCs w:val="21"/>
              </w:rPr>
            </w:pPr>
            <w:r>
              <w:rPr>
                <w:rFonts w:hint="eastAsia" w:ascii="宋体" w:eastAsia="宋体"/>
                <w:color w:val="000000"/>
                <w:szCs w:val="21"/>
                <w:highlight w:val="none"/>
                <w:lang w:val="en-US" w:eastAsia="zh-CN"/>
              </w:rPr>
              <w:t>3</w:t>
            </w:r>
            <w:r>
              <w:rPr>
                <w:rFonts w:hint="eastAsia" w:ascii="宋体" w:eastAsia="宋体"/>
                <w:color w:val="000000"/>
                <w:szCs w:val="21"/>
                <w:highlight w:val="none"/>
              </w:rPr>
              <w:t>. 提供以上证明文件扫描件，如涉及网站截图或照片等证明材料，需提供清晰图片。未按要求提供有效证明材料或提供不清晰导致评委无法识别的不计得分。</w:t>
            </w:r>
          </w:p>
        </w:tc>
      </w:tr>
      <w:tr w14:paraId="365CE6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bottom w:val="single" w:color="000000" w:sz="8" w:space="0"/>
              <w:right w:val="single" w:color="000000" w:sz="8" w:space="0"/>
            </w:tcBorders>
          </w:tcPr>
          <w:p w14:paraId="35FDD1BC">
            <w:pPr>
              <w:spacing w:line="360" w:lineRule="exact"/>
              <w:jc w:val="center"/>
              <w:rPr>
                <w:rFonts w:ascii="宋体" w:eastAsia="宋体" w:cs="宋体"/>
                <w:b/>
                <w:bCs/>
                <w:color w:val="0000FF"/>
                <w:sz w:val="24"/>
              </w:rPr>
            </w:pPr>
            <w:r>
              <w:rPr>
                <w:rFonts w:hint="eastAsia" w:ascii="宋体" w:eastAsia="宋体"/>
                <w:b/>
                <w:bCs/>
                <w:color w:val="0000FF"/>
              </w:rPr>
              <w:t>4</w:t>
            </w:r>
          </w:p>
        </w:tc>
        <w:tc>
          <w:tcPr>
            <w:tcW w:w="3433" w:type="dxa"/>
            <w:gridSpan w:val="3"/>
            <w:tcBorders>
              <w:top w:val="single" w:color="000000" w:sz="8" w:space="0"/>
              <w:left w:val="single" w:color="000000" w:sz="8" w:space="0"/>
              <w:bottom w:val="single" w:color="000000" w:sz="8" w:space="0"/>
              <w:right w:val="single" w:color="000000" w:sz="8" w:space="0"/>
            </w:tcBorders>
          </w:tcPr>
          <w:p w14:paraId="487B961F">
            <w:pPr>
              <w:spacing w:line="360" w:lineRule="exact"/>
              <w:jc w:val="center"/>
              <w:rPr>
                <w:rFonts w:ascii="宋体" w:eastAsia="宋体"/>
                <w:b/>
                <w:bCs/>
                <w:color w:val="0000FF"/>
              </w:rPr>
            </w:pPr>
            <w:r>
              <w:rPr>
                <w:rFonts w:hint="eastAsia" w:ascii="宋体" w:eastAsia="宋体"/>
                <w:b/>
                <w:bCs/>
                <w:color w:val="0000FF"/>
              </w:rPr>
              <w:t>其他</w:t>
            </w:r>
          </w:p>
        </w:tc>
        <w:tc>
          <w:tcPr>
            <w:tcW w:w="5386" w:type="dxa"/>
            <w:tcBorders>
              <w:top w:val="single" w:color="000000" w:sz="8" w:space="0"/>
              <w:left w:val="single" w:color="000000" w:sz="8" w:space="0"/>
              <w:bottom w:val="single" w:color="000000" w:sz="8" w:space="0"/>
              <w:right w:val="single" w:color="000000" w:sz="8" w:space="0"/>
            </w:tcBorders>
          </w:tcPr>
          <w:p w14:paraId="6DDD7542">
            <w:pPr>
              <w:spacing w:line="360" w:lineRule="exact"/>
              <w:jc w:val="center"/>
              <w:rPr>
                <w:rFonts w:ascii="宋体" w:eastAsia="宋体"/>
                <w:b/>
                <w:bCs/>
                <w:color w:val="0000FF"/>
              </w:rPr>
            </w:pPr>
            <w:r>
              <w:rPr>
                <w:rFonts w:hint="eastAsia" w:ascii="宋体" w:eastAsia="宋体"/>
                <w:b/>
                <w:bCs/>
                <w:color w:val="0000FF"/>
              </w:rPr>
              <w:t>5</w:t>
            </w:r>
          </w:p>
        </w:tc>
      </w:tr>
      <w:tr w14:paraId="39FBBD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vMerge w:val="continue"/>
            <w:tcBorders>
              <w:top w:val="single" w:color="000000" w:sz="8" w:space="0"/>
              <w:left w:val="single" w:color="000000" w:sz="8" w:space="0"/>
              <w:bottom w:val="single" w:color="000000" w:sz="8" w:space="0"/>
              <w:right w:val="single" w:color="000000" w:sz="8" w:space="0"/>
            </w:tcBorders>
            <w:vAlign w:val="center"/>
          </w:tcPr>
          <w:p w14:paraId="62480C27"/>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78AF7DA">
            <w:pPr>
              <w:spacing w:line="360" w:lineRule="exact"/>
              <w:jc w:val="center"/>
              <w:rPr>
                <w:rFonts w:ascii="宋体" w:eastAsia="宋体" w:cs="宋体"/>
                <w:szCs w:val="21"/>
              </w:rPr>
            </w:pPr>
            <w:r>
              <w:rPr>
                <w:rFonts w:ascii="宋体" w:eastAsia="宋体"/>
                <w:szCs w:val="21"/>
              </w:rPr>
              <w:t>序号</w:t>
            </w:r>
          </w:p>
        </w:tc>
        <w:tc>
          <w:tcPr>
            <w:tcW w:w="2116"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14DA6E2C">
            <w:pPr>
              <w:spacing w:line="360" w:lineRule="exact"/>
              <w:jc w:val="center"/>
              <w:rPr>
                <w:rFonts w:ascii="宋体" w:eastAsia="宋体"/>
                <w:szCs w:val="21"/>
              </w:rPr>
            </w:pPr>
            <w:r>
              <w:rPr>
                <w:rFonts w:ascii="宋体" w:eastAsia="宋体"/>
                <w:szCs w:val="21"/>
              </w:rPr>
              <w:t>评分因素</w:t>
            </w:r>
          </w:p>
        </w:tc>
        <w:tc>
          <w:tcPr>
            <w:tcW w:w="637"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4601BBB0">
            <w:pPr>
              <w:spacing w:line="360" w:lineRule="exact"/>
              <w:jc w:val="center"/>
              <w:rPr>
                <w:rFonts w:ascii="宋体" w:eastAsia="宋体"/>
                <w:szCs w:val="21"/>
              </w:rPr>
            </w:pPr>
            <w:r>
              <w:rPr>
                <w:rFonts w:ascii="宋体" w:eastAsia="宋体"/>
                <w:szCs w:val="21"/>
              </w:rPr>
              <w:t>权重(%)</w:t>
            </w:r>
          </w:p>
        </w:tc>
        <w:tc>
          <w:tcPr>
            <w:tcW w:w="5386"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B1DBEA0">
            <w:pPr>
              <w:spacing w:line="360" w:lineRule="exact"/>
              <w:jc w:val="center"/>
              <w:rPr>
                <w:rFonts w:ascii="宋体" w:eastAsia="宋体"/>
                <w:szCs w:val="21"/>
              </w:rPr>
            </w:pPr>
            <w:r>
              <w:rPr>
                <w:rFonts w:ascii="宋体" w:eastAsia="宋体"/>
                <w:szCs w:val="21"/>
              </w:rPr>
              <w:t>评分准则</w:t>
            </w:r>
          </w:p>
        </w:tc>
      </w:tr>
      <w:tr w14:paraId="1E3F28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3492" w:hRule="atLeast"/>
          <w:jc w:val="center"/>
        </w:trPr>
        <w:tc>
          <w:tcPr>
            <w:vMerge w:val="continue"/>
            <w:tcBorders>
              <w:top w:val="single" w:color="000000" w:sz="8" w:space="0"/>
              <w:left w:val="single" w:color="000000" w:sz="8" w:space="0"/>
              <w:bottom w:val="single" w:color="000000" w:sz="8" w:space="0"/>
              <w:right w:val="single" w:color="000000" w:sz="8" w:space="0"/>
            </w:tcBorders>
          </w:tcPr>
          <w:p w14:paraId="28760C16"/>
        </w:tc>
        <w:tc>
          <w:tcPr>
            <w:tcW w:w="680" w:type="dxa"/>
            <w:tcBorders>
              <w:top w:val="single" w:color="000000" w:sz="8" w:space="0"/>
              <w:left w:val="single" w:color="000000" w:sz="8" w:space="0"/>
              <w:bottom w:val="single" w:color="000000" w:sz="8" w:space="0"/>
              <w:right w:val="single" w:color="000000" w:sz="8" w:space="0"/>
            </w:tcBorders>
            <w:vAlign w:val="center"/>
          </w:tcPr>
          <w:p w14:paraId="1189CF42">
            <w:pPr>
              <w:spacing w:line="360" w:lineRule="exact"/>
              <w:jc w:val="center"/>
              <w:rPr>
                <w:rFonts w:ascii="宋体" w:eastAsia="宋体"/>
                <w:szCs w:val="21"/>
              </w:rPr>
            </w:pPr>
            <w:r>
              <w:rPr>
                <w:rFonts w:hint="eastAsia" w:ascii="宋体" w:eastAsia="宋体"/>
                <w:szCs w:val="21"/>
              </w:rPr>
              <w:t>1</w:t>
            </w:r>
          </w:p>
        </w:tc>
        <w:tc>
          <w:tcPr>
            <w:tcW w:w="2116" w:type="dxa"/>
            <w:tcBorders>
              <w:top w:val="single" w:color="000000" w:sz="8" w:space="0"/>
              <w:left w:val="single" w:color="000000" w:sz="8" w:space="0"/>
              <w:bottom w:val="single" w:color="000000" w:sz="8" w:space="0"/>
              <w:right w:val="single" w:color="000000" w:sz="8" w:space="0"/>
            </w:tcBorders>
            <w:vAlign w:val="center"/>
          </w:tcPr>
          <w:p w14:paraId="68A1F246">
            <w:pPr>
              <w:spacing w:line="360" w:lineRule="exact"/>
              <w:jc w:val="center"/>
              <w:rPr>
                <w:rFonts w:ascii="宋体" w:eastAsia="宋体"/>
                <w:szCs w:val="21"/>
              </w:rPr>
            </w:pPr>
            <w:r>
              <w:rPr>
                <w:rFonts w:ascii="宋体" w:eastAsia="宋体"/>
                <w:szCs w:val="21"/>
              </w:rPr>
              <w:t>诚信评审</w:t>
            </w:r>
          </w:p>
        </w:tc>
        <w:tc>
          <w:tcPr>
            <w:tcW w:w="637" w:type="dxa"/>
            <w:tcBorders>
              <w:top w:val="single" w:color="000000" w:sz="8" w:space="0"/>
              <w:left w:val="single" w:color="000000" w:sz="8" w:space="0"/>
              <w:bottom w:val="single" w:color="000000" w:sz="8" w:space="0"/>
              <w:right w:val="single" w:color="000000" w:sz="8" w:space="0"/>
            </w:tcBorders>
            <w:vAlign w:val="center"/>
          </w:tcPr>
          <w:p w14:paraId="6DB5F050">
            <w:pPr>
              <w:spacing w:line="360" w:lineRule="exact"/>
              <w:jc w:val="center"/>
              <w:rPr>
                <w:rFonts w:ascii="宋体" w:eastAsia="宋体"/>
                <w:szCs w:val="21"/>
              </w:rPr>
            </w:pPr>
            <w:r>
              <w:rPr>
                <w:rFonts w:ascii="宋体" w:eastAsia="宋体"/>
                <w:szCs w:val="21"/>
              </w:rPr>
              <w:t>5</w:t>
            </w:r>
          </w:p>
        </w:tc>
        <w:tc>
          <w:tcPr>
            <w:tcW w:w="5386" w:type="dxa"/>
            <w:tcBorders>
              <w:top w:val="single" w:color="000000" w:sz="8" w:space="0"/>
              <w:left w:val="single" w:color="000000" w:sz="8" w:space="0"/>
              <w:bottom w:val="single" w:color="000000" w:sz="8" w:space="0"/>
              <w:right w:val="single" w:color="000000" w:sz="8" w:space="0"/>
            </w:tcBorders>
            <w:vAlign w:val="center"/>
          </w:tcPr>
          <w:p w14:paraId="26A97FB9">
            <w:pPr>
              <w:spacing w:line="360" w:lineRule="exact"/>
              <w:rPr>
                <w:rFonts w:ascii="宋体"/>
                <w:szCs w:val="21"/>
              </w:rPr>
            </w:pPr>
            <w:r>
              <w:rPr>
                <w:rFonts w:hint="eastAsia" w:ascii="宋体" w:eastAsia="宋体"/>
                <w:szCs w:val="21"/>
              </w:rPr>
              <w:t>根据《深圳市财政局关于印发&lt;深圳市财政局政府采购信用信息管理办法&gt;的通知》（深财规〔2023〕3号）相关规定</w:t>
            </w:r>
            <w:r>
              <w:rPr>
                <w:rFonts w:hint="eastAsia" w:ascii="宋体"/>
                <w:szCs w:val="21"/>
              </w:rPr>
              <w:t>，如供应商在全国范围内存在因政府采购违法、违规行为受到财政部门罚款等一般行政处罚信息，或者存在该办法第十一条所称</w:t>
            </w:r>
            <w:r>
              <w:rPr>
                <w:rFonts w:hint="eastAsia" w:ascii="宋体" w:eastAsia="宋体"/>
                <w:szCs w:val="21"/>
              </w:rPr>
              <w:t>在本市集中采购活动中的</w:t>
            </w:r>
            <w:r>
              <w:rPr>
                <w:rFonts w:hint="eastAsia" w:ascii="宋体"/>
                <w:szCs w:val="21"/>
              </w:rPr>
              <w:t>一般违法失信行为记录信息，且在公示期内的，本项不得分，否则得100分。</w:t>
            </w:r>
          </w:p>
          <w:p w14:paraId="14CAE0AE">
            <w:pPr>
              <w:spacing w:line="360" w:lineRule="exact"/>
              <w:rPr>
                <w:rFonts w:ascii="宋体" w:eastAsia="宋体"/>
                <w:szCs w:val="21"/>
              </w:rPr>
            </w:pPr>
            <w:r>
              <w:rPr>
                <w:rFonts w:hint="eastAsia" w:ascii="宋体"/>
                <w:szCs w:val="21"/>
              </w:rPr>
              <w:t>（采购代理机构通过“信用中国”、“中国政府采购网”、“深圳市政府采购监管网”以及市、区财政部门认定的其他渠道查询供应商信用信息，投标人无需提供证明材料。）</w:t>
            </w:r>
          </w:p>
        </w:tc>
      </w:tr>
    </w:tbl>
    <w:p w14:paraId="6F738FA4">
      <w:pPr>
        <w:sectPr>
          <w:footerReference r:id="rId3" w:type="default"/>
          <w:footerReference r:id="rId4" w:type="even"/>
          <w:pgSz w:w="11906" w:h="16838"/>
          <w:pgMar w:top="1440" w:right="1418" w:bottom="1440" w:left="1418" w:header="851" w:footer="992" w:gutter="0"/>
          <w:cols w:space="720" w:num="1"/>
          <w:titlePg/>
          <w:docGrid w:type="lines" w:linePitch="312" w:charSpace="0"/>
        </w:sectPr>
      </w:pPr>
    </w:p>
    <w:p w14:paraId="24769CC5">
      <w:pPr>
        <w:pStyle w:val="2"/>
        <w:rPr>
          <w:rFonts w:eastAsia="宋体"/>
          <w:szCs w:val="32"/>
        </w:rPr>
      </w:pPr>
      <w:r>
        <w:rPr>
          <w:rFonts w:hint="eastAsia" w:eastAsia="宋体"/>
          <w:szCs w:val="32"/>
        </w:rPr>
        <w:t>其它关键信息</w:t>
      </w:r>
    </w:p>
    <w:p w14:paraId="7FF61B0D">
      <w:pPr>
        <w:spacing w:line="360" w:lineRule="auto"/>
        <w:ind w:firstLine="413" w:firstLineChars="196"/>
        <w:rPr>
          <w:b/>
        </w:rPr>
      </w:pPr>
      <w:r>
        <w:rPr>
          <w:rFonts w:hint="eastAsia" w:ascii="宋体"/>
          <w:b/>
          <w:szCs w:val="21"/>
        </w:rPr>
        <w:t>一</w:t>
      </w:r>
      <w:r>
        <w:rPr>
          <w:rFonts w:hint="eastAsia" w:ascii="宋体" w:eastAsia="宋体"/>
          <w:b/>
          <w:szCs w:val="21"/>
        </w:rPr>
        <w:t>、</w:t>
      </w:r>
      <w:r>
        <w:rPr>
          <w:rFonts w:hint="eastAsia"/>
          <w:b/>
        </w:rPr>
        <w:t>评标定标信息</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4"/>
        <w:gridCol w:w="4265"/>
      </w:tblGrid>
      <w:tr w14:paraId="676D05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03FD3907">
            <w:pPr>
              <w:spacing w:after="60"/>
              <w:jc w:val="center"/>
              <w:rPr>
                <w:rFonts w:ascii="宋体" w:eastAsia="宋体"/>
                <w:szCs w:val="21"/>
              </w:rPr>
            </w:pPr>
            <w:r>
              <w:rPr>
                <w:rFonts w:hint="eastAsia" w:ascii="宋体" w:eastAsia="宋体"/>
                <w:szCs w:val="21"/>
              </w:rPr>
              <w:t>是否评标定标分离</w:t>
            </w:r>
          </w:p>
        </w:tc>
        <w:tc>
          <w:tcPr>
            <w:tcW w:w="4265" w:type="dxa"/>
          </w:tcPr>
          <w:p w14:paraId="64BAE79F">
            <w:pPr>
              <w:spacing w:after="60"/>
              <w:jc w:val="center"/>
              <w:rPr>
                <w:rFonts w:ascii="宋体" w:eastAsia="宋体"/>
                <w:szCs w:val="21"/>
              </w:rPr>
            </w:pPr>
            <w:r>
              <w:rPr>
                <w:rFonts w:hint="eastAsia" w:ascii="宋体" w:eastAsia="宋体"/>
                <w:szCs w:val="21"/>
              </w:rPr>
              <w:t>非评定分离</w:t>
            </w:r>
          </w:p>
        </w:tc>
      </w:tr>
      <w:tr w14:paraId="6A523A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41C5BE7B">
            <w:pPr>
              <w:spacing w:after="60"/>
              <w:jc w:val="center"/>
              <w:rPr>
                <w:rFonts w:ascii="宋体" w:eastAsia="宋体"/>
                <w:szCs w:val="21"/>
              </w:rPr>
            </w:pPr>
            <w:r>
              <w:rPr>
                <w:rFonts w:hint="eastAsia" w:ascii="宋体" w:eastAsia="宋体"/>
                <w:szCs w:val="21"/>
              </w:rPr>
              <w:t>定标方法</w:t>
            </w:r>
          </w:p>
        </w:tc>
        <w:tc>
          <w:tcPr>
            <w:tcW w:w="4265" w:type="dxa"/>
          </w:tcPr>
          <w:p w14:paraId="3E87B51D">
            <w:pPr>
              <w:spacing w:after="60"/>
              <w:jc w:val="center"/>
              <w:rPr>
                <w:rFonts w:ascii="宋体" w:eastAsia="宋体"/>
                <w:szCs w:val="21"/>
              </w:rPr>
            </w:pPr>
            <w:r>
              <w:rPr>
                <w:rFonts w:hint="eastAsia" w:ascii="宋体" w:eastAsia="宋体"/>
                <w:szCs w:val="21"/>
              </w:rPr>
              <w:t>/</w:t>
            </w:r>
          </w:p>
        </w:tc>
      </w:tr>
      <w:tr w14:paraId="74A961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288A32F">
            <w:pPr>
              <w:spacing w:after="60"/>
              <w:jc w:val="center"/>
              <w:rPr>
                <w:rFonts w:ascii="宋体" w:eastAsia="宋体"/>
                <w:szCs w:val="21"/>
              </w:rPr>
            </w:pPr>
            <w:r>
              <w:rPr>
                <w:rFonts w:hint="eastAsia" w:ascii="宋体" w:eastAsia="宋体"/>
                <w:szCs w:val="21"/>
              </w:rPr>
              <w:t>评标方法</w:t>
            </w:r>
          </w:p>
        </w:tc>
        <w:tc>
          <w:tcPr>
            <w:tcW w:w="4265" w:type="dxa"/>
          </w:tcPr>
          <w:p w14:paraId="7A9F9AC1">
            <w:pPr>
              <w:spacing w:after="60"/>
              <w:jc w:val="center"/>
              <w:rPr>
                <w:rFonts w:ascii="宋体" w:eastAsia="宋体"/>
                <w:szCs w:val="21"/>
              </w:rPr>
            </w:pPr>
            <w:r>
              <w:rPr>
                <w:rFonts w:hint="eastAsia" w:ascii="宋体" w:eastAsia="宋体"/>
                <w:szCs w:val="21"/>
              </w:rPr>
              <w:t>综合评分法</w:t>
            </w:r>
          </w:p>
        </w:tc>
      </w:tr>
      <w:tr w14:paraId="0A69AC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026F64A2">
            <w:pPr>
              <w:spacing w:after="60"/>
              <w:jc w:val="center"/>
              <w:rPr>
                <w:rFonts w:ascii="宋体" w:eastAsia="宋体"/>
                <w:szCs w:val="21"/>
              </w:rPr>
            </w:pPr>
            <w:r>
              <w:rPr>
                <w:rFonts w:hint="eastAsia" w:ascii="宋体" w:eastAsia="宋体"/>
                <w:szCs w:val="21"/>
              </w:rPr>
              <w:t>中标供应商家数</w:t>
            </w:r>
          </w:p>
        </w:tc>
        <w:tc>
          <w:tcPr>
            <w:tcW w:w="4265" w:type="dxa"/>
          </w:tcPr>
          <w:p w14:paraId="55BA1E4A">
            <w:pPr>
              <w:spacing w:after="60"/>
              <w:jc w:val="center"/>
              <w:rPr>
                <w:rFonts w:ascii="宋体" w:eastAsia="宋体"/>
                <w:szCs w:val="21"/>
              </w:rPr>
            </w:pPr>
            <w:r>
              <w:rPr>
                <w:rFonts w:hint="eastAsia" w:ascii="宋体" w:eastAsia="宋体"/>
                <w:szCs w:val="21"/>
              </w:rPr>
              <w:t>1</w:t>
            </w:r>
          </w:p>
        </w:tc>
      </w:tr>
      <w:tr w14:paraId="2EE4C2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314D7D9F">
            <w:pPr>
              <w:spacing w:after="60"/>
              <w:jc w:val="center"/>
              <w:rPr>
                <w:rFonts w:ascii="宋体" w:eastAsia="宋体"/>
                <w:szCs w:val="21"/>
              </w:rPr>
            </w:pPr>
            <w:r>
              <w:rPr>
                <w:rFonts w:hint="eastAsia" w:ascii="宋体" w:eastAsia="宋体"/>
                <w:szCs w:val="21"/>
              </w:rPr>
              <w:t>候选中标供应商家数</w:t>
            </w:r>
          </w:p>
        </w:tc>
        <w:tc>
          <w:tcPr>
            <w:tcW w:w="4265" w:type="dxa"/>
          </w:tcPr>
          <w:p w14:paraId="6EC296A6">
            <w:pPr>
              <w:spacing w:after="60"/>
              <w:jc w:val="center"/>
              <w:rPr>
                <w:rFonts w:ascii="宋体" w:eastAsia="宋体"/>
                <w:szCs w:val="21"/>
              </w:rPr>
            </w:pPr>
            <w:r>
              <w:rPr>
                <w:rFonts w:hint="eastAsia" w:ascii="宋体" w:eastAsia="宋体"/>
                <w:szCs w:val="21"/>
              </w:rPr>
              <w:t>3</w:t>
            </w:r>
          </w:p>
        </w:tc>
      </w:tr>
    </w:tbl>
    <w:p w14:paraId="08A671C6">
      <w:pPr>
        <w:pStyle w:val="18"/>
      </w:pPr>
    </w:p>
    <w:p w14:paraId="7C34AAA8">
      <w:pPr>
        <w:spacing w:line="360" w:lineRule="auto"/>
        <w:ind w:firstLine="413" w:firstLineChars="196"/>
        <w:rPr>
          <w:rFonts w:ascii="宋体"/>
          <w:b/>
          <w:szCs w:val="21"/>
        </w:rPr>
      </w:pPr>
      <w:r>
        <w:rPr>
          <w:rFonts w:hint="eastAsia" w:ascii="宋体"/>
          <w:b/>
          <w:szCs w:val="21"/>
        </w:rPr>
        <w:t>二</w:t>
      </w:r>
      <w:r>
        <w:rPr>
          <w:rFonts w:hint="eastAsia" w:ascii="宋体" w:eastAsia="宋体"/>
          <w:b/>
          <w:szCs w:val="21"/>
        </w:rPr>
        <w:t>、</w:t>
      </w:r>
      <w:r>
        <w:rPr>
          <w:rFonts w:hint="eastAsia" w:ascii="宋体"/>
          <w:b/>
          <w:szCs w:val="21"/>
        </w:rPr>
        <w:t>报价明显偏低的合理性说明</w:t>
      </w:r>
    </w:p>
    <w:p w14:paraId="58E5F5D0">
      <w:pPr>
        <w:spacing w:line="360" w:lineRule="auto"/>
        <w:ind w:firstLine="420" w:firstLineChars="200"/>
        <w:rPr>
          <w:rFonts w:ascii="宋体"/>
          <w:szCs w:val="21"/>
        </w:rPr>
      </w:pPr>
      <w:r>
        <w:rPr>
          <w:rFonts w:hint="eastAsia" w:ascii="宋体"/>
          <w:szCs w:val="21"/>
        </w:rPr>
        <w:t>根据《中华人民共和国财政部令第</w:t>
      </w:r>
      <w:r>
        <w:rPr>
          <w:rFonts w:ascii="宋体"/>
          <w:szCs w:val="21"/>
        </w:rPr>
        <w:t>87</w:t>
      </w:r>
      <w:r>
        <w:rPr>
          <w:rFonts w:hint="eastAsia" w:ascii="宋体"/>
          <w:szCs w:val="21"/>
        </w:rPr>
        <w:t>号</w:t>
      </w:r>
      <w:r>
        <w:rPr>
          <w:rFonts w:ascii="宋体"/>
          <w:szCs w:val="21"/>
        </w:rPr>
        <w:t>-</w:t>
      </w:r>
      <w:r>
        <w:rPr>
          <w:rFonts w:hint="eastAsia" w:asci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95A7E52">
      <w:pPr>
        <w:pStyle w:val="18"/>
      </w:pPr>
    </w:p>
    <w:p w14:paraId="745B4526">
      <w:pPr>
        <w:spacing w:line="360" w:lineRule="auto"/>
        <w:ind w:firstLine="422" w:firstLineChars="200"/>
        <w:rPr>
          <w:rFonts w:ascii="宋体" w:eastAsia="宋体"/>
          <w:b/>
          <w:bCs/>
        </w:rPr>
      </w:pPr>
      <w:r>
        <w:rPr>
          <w:rFonts w:hint="eastAsia" w:ascii="宋体" w:eastAsia="宋体"/>
          <w:b/>
          <w:szCs w:val="21"/>
        </w:rPr>
        <w:t>三、</w:t>
      </w:r>
      <w:r>
        <w:rPr>
          <w:rFonts w:hint="eastAsia" w:ascii="宋体" w:eastAsia="宋体"/>
          <w:b/>
          <w:bCs/>
        </w:rPr>
        <w:t>关于享受政府采购扶持政策的主体及价格扣除比例</w:t>
      </w:r>
    </w:p>
    <w:p w14:paraId="7F1490C9">
      <w:pPr>
        <w:spacing w:after="60" w:line="360" w:lineRule="auto"/>
        <w:ind w:firstLine="426" w:firstLineChars="202"/>
        <w:rPr>
          <w:rFonts w:ascii="宋体"/>
          <w:b/>
          <w:snapToGrid w:val="0"/>
          <w:szCs w:val="21"/>
        </w:rPr>
      </w:pPr>
      <w:r>
        <w:rPr>
          <w:rFonts w:hint="eastAsia" w:ascii="宋体"/>
          <w:b/>
          <w:snapToGrid w:val="0"/>
          <w:szCs w:val="21"/>
          <w:highlight w:val="yellow"/>
        </w:rPr>
        <w:t>（一）本项目所属行业为</w:t>
      </w:r>
      <w:r>
        <w:rPr>
          <w:rFonts w:hint="eastAsia" w:ascii="宋体"/>
          <w:b/>
          <w:snapToGrid w:val="0"/>
          <w:szCs w:val="21"/>
          <w:highlight w:val="yellow"/>
          <w:u w:val="single"/>
        </w:rPr>
        <w:t xml:space="preserve"> 工业 </w:t>
      </w:r>
      <w:r>
        <w:rPr>
          <w:rFonts w:hint="eastAsia" w:asci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0BCBFFD1">
      <w:pPr>
        <w:spacing w:line="360" w:lineRule="auto"/>
        <w:ind w:firstLine="422" w:firstLineChars="200"/>
        <w:rPr>
          <w:rFonts w:ascii="宋体" w:eastAsia="宋体"/>
          <w:b/>
          <w:bCs/>
          <w:szCs w:val="22"/>
        </w:rPr>
      </w:pPr>
      <w:r>
        <w:rPr>
          <w:rFonts w:hint="eastAsia" w:ascii="宋体" w:eastAsia="宋体"/>
          <w:b/>
          <w:bCs/>
          <w:szCs w:val="22"/>
        </w:rPr>
        <w:t>（二）价格评审优惠</w:t>
      </w:r>
    </w:p>
    <w:p w14:paraId="1D9C4AD4">
      <w:pPr>
        <w:spacing w:line="360" w:lineRule="auto"/>
        <w:ind w:firstLine="371" w:firstLineChars="177"/>
        <w:rPr>
          <w:rFonts w:ascii="宋体" w:eastAsia="宋体" w:cs="仿宋"/>
          <w:szCs w:val="21"/>
        </w:rPr>
      </w:pPr>
      <w:r>
        <w:rPr>
          <w:rFonts w:hint="eastAsia" w:ascii="宋体"/>
          <w:szCs w:val="21"/>
          <w:lang w:eastAsia="zh-CN"/>
        </w:rPr>
        <w:t>☑</w:t>
      </w:r>
      <w:r>
        <w:rPr>
          <w:rFonts w:hint="eastAsia" w:ascii="Calibri" w:hAnsi="Calibri"/>
        </w:rPr>
        <w:t>预留份额专门面向中小企业采购的采购项目或采购包</w:t>
      </w:r>
      <w:r>
        <w:rPr>
          <w:rFonts w:hint="eastAsia" w:ascii="宋体" w:eastAsia="宋体" w:cs="仿宋"/>
          <w:szCs w:val="21"/>
        </w:rPr>
        <w:t>：不执行价格评审优惠的扶持政策。</w:t>
      </w:r>
    </w:p>
    <w:p w14:paraId="43E7D874">
      <w:pPr>
        <w:widowControl/>
        <w:spacing w:line="360" w:lineRule="auto"/>
        <w:ind w:firstLine="371" w:firstLineChars="177"/>
        <w:jc w:val="left"/>
        <w:rPr>
          <w:rFonts w:ascii="宋体" w:eastAsia="宋体" w:cs="仿宋"/>
          <w:szCs w:val="21"/>
        </w:rPr>
      </w:pPr>
      <w:r>
        <w:rPr>
          <w:rFonts w:hint="eastAsia" w:ascii="宋体" w:hAnsi="宋体" w:eastAsia="宋体" w:cs="MS Mincho"/>
          <w:kern w:val="0"/>
          <w:szCs w:val="21"/>
          <w:lang w:eastAsia="zh-CN"/>
        </w:rPr>
        <w:t>□</w:t>
      </w:r>
      <w:r>
        <w:rPr>
          <w:rFonts w:hint="eastAsia" w:ascii="Segoe UI Symbol" w:hAnsi="Segoe UI Symbol"/>
        </w:rPr>
        <w:t>未</w:t>
      </w:r>
      <w:r>
        <w:rPr>
          <w:rFonts w:hint="eastAsia" w:ascii="Calibri" w:hAnsi="Calibri"/>
        </w:rPr>
        <w:t>预留份额专门面向中小企业采购的采购项目或采购包</w:t>
      </w:r>
      <w:r>
        <w:rPr>
          <w:rFonts w:hint="eastAsia" w:ascii="宋体" w:eastAsia="宋体"/>
          <w:szCs w:val="21"/>
        </w:rPr>
        <w:t>：</w:t>
      </w:r>
    </w:p>
    <w:p w14:paraId="6548F2BD">
      <w:pPr>
        <w:spacing w:line="360" w:lineRule="auto"/>
        <w:ind w:firstLine="424" w:firstLineChars="202"/>
        <w:rPr>
          <w:rFonts w:ascii="宋体" w:eastAsia="宋体"/>
          <w:szCs w:val="22"/>
        </w:rPr>
      </w:pPr>
      <w:r>
        <w:rPr>
          <w:rFonts w:hint="eastAsia" w:ascii="宋体" w:eastAsia="宋体"/>
          <w:szCs w:val="22"/>
        </w:rPr>
        <w:t>（1）根据</w:t>
      </w:r>
      <w:r>
        <w:rPr>
          <w:rFonts w:hint="eastAsia" w:ascii="宋体"/>
          <w:snapToGrid w:val="0"/>
          <w:szCs w:val="21"/>
        </w:rPr>
        <w:t>《财政部 工业和信息化部关于印发《政府采购促进中小企业发展管理办法》的通知》(财库〔2020〕46号)</w:t>
      </w:r>
      <w:r>
        <w:rPr>
          <w:rFonts w:hint="eastAsia" w:ascii="宋体" w:eastAsia="宋体"/>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宋体" w:eastAsia="宋体"/>
          <w:b/>
          <w:szCs w:val="22"/>
        </w:rPr>
        <w:t>其投标报价扣除</w:t>
      </w:r>
      <w:r>
        <w:rPr>
          <w:rFonts w:hint="eastAsia" w:ascii="宋体" w:eastAsia="宋体"/>
          <w:b/>
          <w:szCs w:val="22"/>
          <w:u w:val="single"/>
        </w:rPr>
        <w:t xml:space="preserve"> 10 </w:t>
      </w:r>
      <w:r>
        <w:rPr>
          <w:rFonts w:hint="eastAsia" w:ascii="宋体" w:eastAsia="宋体"/>
          <w:b/>
          <w:szCs w:val="22"/>
        </w:rPr>
        <w:t>%（请在10%-20%范围内选择）后参与评审</w:t>
      </w:r>
      <w:r>
        <w:rPr>
          <w:rFonts w:hint="eastAsia" w:ascii="宋体" w:eastAsia="宋体"/>
          <w:szCs w:val="22"/>
        </w:rPr>
        <w:t>。</w:t>
      </w:r>
    </w:p>
    <w:p w14:paraId="2E40B230">
      <w:pPr>
        <w:spacing w:line="360" w:lineRule="auto"/>
        <w:ind w:firstLine="424" w:firstLineChars="202"/>
        <w:rPr>
          <w:rFonts w:ascii="宋体" w:eastAsia="宋体"/>
          <w:szCs w:val="22"/>
        </w:rPr>
      </w:pPr>
      <w:r>
        <w:rPr>
          <w:rFonts w:hint="eastAsia" w:ascii="宋体" w:eastAsia="宋体"/>
          <w:szCs w:val="22"/>
        </w:rPr>
        <w:t>（2）联合协议中约定，小型、微型企业的协议合同金额占到联合体协议合同总金额30%以上的，可给予</w:t>
      </w:r>
      <w:r>
        <w:rPr>
          <w:rFonts w:hint="eastAsia" w:ascii="宋体" w:eastAsia="宋体"/>
          <w:b/>
          <w:szCs w:val="22"/>
        </w:rPr>
        <w:t>联合体</w:t>
      </w:r>
      <w:r>
        <w:rPr>
          <w:rFonts w:hint="eastAsia" w:ascii="宋体" w:eastAsia="宋体"/>
          <w:b/>
          <w:szCs w:val="22"/>
          <w:u w:val="single"/>
        </w:rPr>
        <w:t xml:space="preserve"> / </w:t>
      </w:r>
      <w:r>
        <w:rPr>
          <w:rFonts w:hint="eastAsia" w:ascii="宋体" w:eastAsia="宋体"/>
          <w:b/>
          <w:szCs w:val="22"/>
        </w:rPr>
        <w:t>%</w:t>
      </w:r>
      <w:r>
        <w:rPr>
          <w:rFonts w:ascii="宋体" w:eastAsia="宋体"/>
          <w:b/>
          <w:szCs w:val="22"/>
        </w:rPr>
        <w:t xml:space="preserve"> </w:t>
      </w:r>
      <w:r>
        <w:rPr>
          <w:rFonts w:hint="eastAsia" w:ascii="宋体" w:eastAsia="宋体"/>
          <w:b/>
          <w:szCs w:val="22"/>
        </w:rPr>
        <w:t>（请在4</w:t>
      </w:r>
      <w:r>
        <w:rPr>
          <w:rFonts w:ascii="宋体" w:eastAsia="宋体"/>
          <w:b/>
          <w:szCs w:val="22"/>
        </w:rPr>
        <w:t>%-</w:t>
      </w:r>
      <w:r>
        <w:rPr>
          <w:rFonts w:hint="eastAsia" w:ascii="宋体" w:eastAsia="宋体"/>
          <w:b/>
          <w:szCs w:val="22"/>
        </w:rPr>
        <w:t>6</w:t>
      </w:r>
      <w:r>
        <w:rPr>
          <w:rFonts w:ascii="宋体" w:eastAsia="宋体"/>
          <w:b/>
          <w:szCs w:val="22"/>
        </w:rPr>
        <w:t>%</w:t>
      </w:r>
      <w:r>
        <w:rPr>
          <w:rFonts w:hint="eastAsia" w:ascii="宋体" w:eastAsia="宋体"/>
          <w:b/>
          <w:szCs w:val="22"/>
        </w:rPr>
        <w:t>范围内选择）</w:t>
      </w:r>
      <w:r>
        <w:rPr>
          <w:rFonts w:hint="eastAsia" w:ascii="宋体" w:eastAsia="宋体"/>
          <w:szCs w:val="22"/>
        </w:rPr>
        <w:t>的价格扣除</w:t>
      </w:r>
      <w:r>
        <w:rPr>
          <w:rFonts w:hint="eastAsia" w:ascii="宋体"/>
          <w:szCs w:val="22"/>
        </w:rPr>
        <w:t>，用扣除后的价格参与评审</w:t>
      </w:r>
      <w:r>
        <w:rPr>
          <w:rFonts w:hint="eastAsia" w:ascii="宋体" w:eastAsia="宋体"/>
          <w:szCs w:val="22"/>
        </w:rPr>
        <w:t>。如联合体各方均为小型、微型企业，联合体视同为小型、微型企业，享受</w:t>
      </w:r>
      <w:r>
        <w:rPr>
          <w:rFonts w:hint="eastAsia" w:ascii="宋体" w:eastAsia="宋体"/>
          <w:b/>
          <w:szCs w:val="22"/>
        </w:rPr>
        <w:t>第（1）项</w:t>
      </w:r>
      <w:r>
        <w:rPr>
          <w:rFonts w:hint="eastAsia" w:ascii="宋体" w:eastAsia="宋体"/>
          <w:szCs w:val="22"/>
        </w:rPr>
        <w:t>的评审优惠。</w:t>
      </w:r>
    </w:p>
    <w:p w14:paraId="640C3883">
      <w:pPr>
        <w:spacing w:after="60" w:line="360" w:lineRule="auto"/>
        <w:ind w:firstLine="424" w:firstLineChars="202"/>
        <w:rPr>
          <w:rFonts w:ascii="宋体"/>
          <w:szCs w:val="22"/>
        </w:rPr>
      </w:pPr>
      <w:r>
        <w:rPr>
          <w:rFonts w:hint="eastAsia" w:ascii="宋体"/>
          <w:szCs w:val="22"/>
        </w:rPr>
        <w:t>（3）分包意向协议约定，小型、微型企业的协议合同金额占到合同总金额30%以上的，可给予投标人</w:t>
      </w:r>
      <w:r>
        <w:rPr>
          <w:rFonts w:hint="eastAsia" w:ascii="宋体"/>
          <w:b/>
          <w:szCs w:val="22"/>
          <w:u w:val="single"/>
        </w:rPr>
        <w:t xml:space="preserve">  </w:t>
      </w:r>
      <w:r>
        <w:rPr>
          <w:rFonts w:hint="eastAsia" w:ascii="宋体" w:eastAsia="宋体"/>
          <w:b/>
          <w:szCs w:val="22"/>
          <w:u w:val="single"/>
        </w:rPr>
        <w:t xml:space="preserve">/  </w:t>
      </w:r>
      <w:r>
        <w:rPr>
          <w:rFonts w:hint="eastAsia" w:ascii="宋体" w:eastAsia="宋体"/>
          <w:b/>
          <w:szCs w:val="22"/>
        </w:rPr>
        <w:t>%</w:t>
      </w:r>
      <w:r>
        <w:rPr>
          <w:rFonts w:ascii="宋体" w:eastAsia="宋体"/>
          <w:b/>
          <w:szCs w:val="22"/>
        </w:rPr>
        <w:t xml:space="preserve"> </w:t>
      </w:r>
      <w:r>
        <w:rPr>
          <w:rFonts w:hint="eastAsia" w:ascii="宋体" w:eastAsia="宋体"/>
          <w:b/>
          <w:szCs w:val="22"/>
        </w:rPr>
        <w:t>（请在4</w:t>
      </w:r>
      <w:r>
        <w:rPr>
          <w:rFonts w:ascii="宋体" w:eastAsia="宋体"/>
          <w:b/>
          <w:szCs w:val="22"/>
        </w:rPr>
        <w:t>%-</w:t>
      </w:r>
      <w:r>
        <w:rPr>
          <w:rFonts w:hint="eastAsia" w:ascii="宋体" w:eastAsia="宋体"/>
          <w:b/>
          <w:szCs w:val="22"/>
        </w:rPr>
        <w:t>6</w:t>
      </w:r>
      <w:r>
        <w:rPr>
          <w:rFonts w:ascii="宋体" w:eastAsia="宋体"/>
          <w:b/>
          <w:szCs w:val="22"/>
        </w:rPr>
        <w:t>%</w:t>
      </w:r>
      <w:r>
        <w:rPr>
          <w:rFonts w:hint="eastAsia" w:ascii="宋体" w:eastAsia="宋体"/>
          <w:b/>
          <w:szCs w:val="22"/>
        </w:rPr>
        <w:t>范围内选择）</w:t>
      </w:r>
      <w:r>
        <w:rPr>
          <w:rFonts w:hint="eastAsia" w:ascii="宋体" w:eastAsia="宋体"/>
          <w:szCs w:val="22"/>
        </w:rPr>
        <w:t>的价格扣除</w:t>
      </w:r>
      <w:r>
        <w:rPr>
          <w:rFonts w:hint="eastAsia" w:ascii="宋体"/>
          <w:szCs w:val="22"/>
        </w:rPr>
        <w:t>，用扣除后的价格参与评审。</w:t>
      </w:r>
    </w:p>
    <w:p w14:paraId="27449307">
      <w:pPr>
        <w:spacing w:after="60" w:line="360" w:lineRule="auto"/>
        <w:ind w:firstLine="424" w:firstLineChars="202"/>
        <w:rPr>
          <w:rFonts w:ascii="宋体"/>
          <w:szCs w:val="22"/>
        </w:rPr>
      </w:pPr>
      <w:r>
        <w:rPr>
          <w:rFonts w:hint="eastAsia" w:ascii="宋体"/>
          <w:szCs w:val="22"/>
        </w:rPr>
        <w:t>（4）</w:t>
      </w:r>
      <w:r>
        <w:rPr>
          <w:rFonts w:hint="eastAsia" w:ascii="宋体" w:eastAsia="宋体"/>
          <w:szCs w:val="22"/>
        </w:rPr>
        <w:t>如供应商为</w:t>
      </w:r>
      <w:r>
        <w:rPr>
          <w:rFonts w:hint="eastAsia" w:ascii="Calibri" w:hAnsi="Calibri"/>
          <w:szCs w:val="22"/>
        </w:rPr>
        <w:t>监狱企业</w:t>
      </w:r>
      <w:r>
        <w:rPr>
          <w:rFonts w:hint="eastAsia" w:ascii="Calibri" w:hAnsi="Calibri"/>
          <w:szCs w:val="21"/>
        </w:rPr>
        <w:t>或残疾人福利性单位，</w:t>
      </w:r>
      <w:r>
        <w:rPr>
          <w:rFonts w:hint="eastAsia" w:ascii="Calibri" w:hAnsi="Calibri"/>
          <w:szCs w:val="22"/>
        </w:rPr>
        <w:t>视同</w:t>
      </w:r>
      <w:r>
        <w:rPr>
          <w:rFonts w:hint="eastAsia" w:ascii="宋体" w:eastAsia="宋体"/>
          <w:szCs w:val="22"/>
        </w:rPr>
        <w:t>小型、微型企业，</w:t>
      </w:r>
      <w:r>
        <w:rPr>
          <w:rFonts w:hint="eastAsia" w:ascii="Calibri" w:hAnsi="Calibri"/>
          <w:szCs w:val="22"/>
        </w:rPr>
        <w:t>享受以上预留份额、评审中价格扣除等政府采购促进中小企业发展的政府采购政策；</w:t>
      </w:r>
      <w:r>
        <w:rPr>
          <w:rFonts w:hint="eastAsia" w:ascii="宋体" w:eastAsia="宋体"/>
          <w:szCs w:val="22"/>
        </w:rPr>
        <w:t>对于同时属于小型、微型企业、监狱企业或残疾人福利性单位的供应商，不重复享受政策。</w:t>
      </w:r>
    </w:p>
    <w:p w14:paraId="479C3FD0">
      <w:pPr>
        <w:spacing w:after="60" w:line="360" w:lineRule="auto"/>
        <w:ind w:firstLine="424" w:firstLineChars="202"/>
        <w:rPr>
          <w:rFonts w:ascii="宋体"/>
          <w:szCs w:val="22"/>
        </w:rPr>
      </w:pPr>
      <w:r>
        <w:rPr>
          <w:rFonts w:hint="eastAsia" w:ascii="宋体"/>
          <w:szCs w:val="22"/>
        </w:rPr>
        <w:t>（5）优惠主体资格的认定资料为《中小企业声明函》、《残疾人福利性单位声明函》以及《监狱企业声明函》等承诺性质的资料（</w:t>
      </w:r>
      <w:r>
        <w:rPr>
          <w:rFonts w:hint="eastAsia" w:ascii="宋体" w:cs="宋体"/>
          <w:szCs w:val="21"/>
        </w:rPr>
        <w:t>格式详见招标文件第三章</w:t>
      </w:r>
      <w:r>
        <w:rPr>
          <w:rFonts w:hint="eastAsia" w:ascii="宋体"/>
          <w:szCs w:val="22"/>
        </w:rPr>
        <w:t>）；监狱企业或者代理提供监狱企业货物的供应商如需享受优惠政策，除上述资料外，还须提供省级以上监狱管理局、戒毒管理局出具的监狱企业证明文件。</w:t>
      </w:r>
    </w:p>
    <w:p w14:paraId="58B9505E">
      <w:pPr>
        <w:pStyle w:val="18"/>
      </w:pPr>
    </w:p>
    <w:p w14:paraId="6F283F10">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宋体"/>
          <w:b/>
          <w:szCs w:val="21"/>
        </w:rPr>
      </w:pPr>
      <w:r>
        <w:rPr>
          <w:rFonts w:hint="eastAsia" w:ascii="宋体" w:eastAsia="宋体" w:cs="宋体"/>
          <w:b/>
          <w:sz w:val="21"/>
          <w:szCs w:val="21"/>
          <w:lang w:eastAsia="zh-CN"/>
        </w:rPr>
        <w:t>四</w:t>
      </w:r>
      <w:r>
        <w:rPr>
          <w:rFonts w:hint="eastAsia" w:ascii="宋体" w:eastAsia="宋体"/>
          <w:b/>
          <w:szCs w:val="21"/>
        </w:rPr>
        <w:t>、</w:t>
      </w:r>
      <w:r>
        <w:rPr>
          <w:rFonts w:hint="eastAsia" w:ascii="Times New Roman" w:hAnsi="Times New Roman"/>
          <w:b/>
          <w:szCs w:val="24"/>
        </w:rPr>
        <w:t>绿色采购</w:t>
      </w:r>
    </w:p>
    <w:p w14:paraId="3825E95B">
      <w:pPr>
        <w:spacing w:line="360" w:lineRule="auto"/>
        <w:ind w:firstLine="424" w:firstLineChars="202"/>
        <w:jc w:val="left"/>
        <w:rPr>
          <w:rFonts w:ascii="宋体" w:eastAsia="宋体"/>
          <w:szCs w:val="21"/>
        </w:rPr>
      </w:pPr>
      <w:r>
        <w:rPr>
          <w:rFonts w:hint="eastAsia" w:ascii="宋体" w:eastAsia="宋体"/>
          <w:szCs w:val="24"/>
        </w:rPr>
        <w:t>（1）投标产品属于《关于调整优化节能产品环境标志产品政府采购执行机制的通知》（财库〔2019〕9号）、《关于印发环境标志产品政府采购品目清单的通知》（财库〔2019〕18号）和《关于印发节能产品</w:t>
      </w:r>
      <w:r>
        <w:rPr>
          <w:rFonts w:hint="eastAsia" w:ascii="宋体" w:eastAsia="宋体"/>
          <w:szCs w:val="21"/>
        </w:rPr>
        <w:t>政府采购品目清单的通知》（财库〔2019〕19号）品目清单范围内的，</w:t>
      </w:r>
      <w:r>
        <w:rPr>
          <w:rFonts w:hint="eastAsia" w:ascii="宋体" w:eastAsia="宋体"/>
          <w:szCs w:val="24"/>
        </w:rPr>
        <w:t>应依据国家确定的认证机构出具的、处于有效期之内的节能产品、环境标志产品认证证书，对获得证书的产品实施政府优先采购或强制采购。</w:t>
      </w:r>
      <w:r>
        <w:rPr>
          <w:rFonts w:hint="eastAsia" w:ascii="宋体" w:eastAsia="宋体"/>
          <w:b/>
          <w:szCs w:val="24"/>
        </w:rPr>
        <w:t>对</w:t>
      </w:r>
      <w:r>
        <w:rPr>
          <w:rFonts w:hint="eastAsia" w:ascii="宋体" w:eastAsia="宋体"/>
          <w:b/>
          <w:szCs w:val="24"/>
          <w:lang w:eastAsia="zh-CN"/>
        </w:rPr>
        <w:t>符合优先采购条件的获证产品</w:t>
      </w:r>
      <w:r>
        <w:rPr>
          <w:rFonts w:hint="eastAsia" w:ascii="宋体" w:eastAsia="宋体"/>
          <w:b/>
          <w:szCs w:val="21"/>
        </w:rPr>
        <w:t>，根据该投标产品报价给予</w:t>
      </w:r>
      <w:r>
        <w:rPr>
          <w:rFonts w:hint="eastAsia" w:ascii="宋体" w:eastAsia="宋体"/>
          <w:b/>
          <w:szCs w:val="21"/>
          <w:u w:val="single"/>
        </w:rPr>
        <w:t xml:space="preserve"> 1 </w:t>
      </w:r>
      <w:r>
        <w:rPr>
          <w:rFonts w:hint="eastAsia" w:ascii="宋体" w:eastAsia="宋体"/>
          <w:b/>
          <w:szCs w:val="21"/>
        </w:rPr>
        <w:t>%的价格扣除，用扣除后的价格参与评审</w:t>
      </w:r>
      <w:r>
        <w:rPr>
          <w:rFonts w:hint="eastAsia" w:ascii="宋体" w:eastAsia="宋体"/>
          <w:szCs w:val="21"/>
        </w:rPr>
        <w:t>（需按投标文件格式部分“列入政府优先采购清单的投标产品一览表”的要求提供证明材料，否则不予价格扣除）。</w:t>
      </w:r>
    </w:p>
    <w:p w14:paraId="46E22026">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宋体" w:eastAsia="宋体"/>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31D26DE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Style w:val="44"/>
          <w:rFonts w:hint="eastAsia" w:ascii="宋体" w:eastAsia="宋体" w:cs="宋体"/>
          <w:i w:val="0"/>
          <w:iCs w:val="0"/>
          <w:caps w:val="0"/>
          <w:smallCaps w:val="0"/>
          <w:color w:val="000000"/>
          <w:spacing w:val="0"/>
          <w:sz w:val="21"/>
          <w:szCs w:val="21"/>
          <w:u w:val="none"/>
          <w:shd w:val="clear" w:color="auto" w:fill="FFFFFF"/>
          <w:vertAlign w:val="baseline"/>
          <w:lang w:eastAsia="zh-CN"/>
        </w:rPr>
      </w:pPr>
    </w:p>
    <w:p w14:paraId="7E6DF77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eastAsia="宋体" w:cs="宋体"/>
          <w:sz w:val="21"/>
          <w:szCs w:val="21"/>
        </w:rPr>
      </w:pPr>
      <w:r>
        <w:rPr>
          <w:rStyle w:val="44"/>
          <w:rFonts w:hint="eastAsia" w:ascii="宋体" w:eastAsia="宋体" w:cs="宋体"/>
          <w:i w:val="0"/>
          <w:iCs w:val="0"/>
          <w:caps w:val="0"/>
          <w:smallCaps w:val="0"/>
          <w:color w:val="000000"/>
          <w:spacing w:val="0"/>
          <w:sz w:val="21"/>
          <w:szCs w:val="21"/>
          <w:u w:val="none"/>
          <w:shd w:val="clear" w:color="auto" w:fill="FFFFFF"/>
          <w:vertAlign w:val="baseline"/>
          <w:lang w:eastAsia="zh-CN"/>
        </w:rPr>
        <w:t>五</w:t>
      </w:r>
      <w:r>
        <w:rPr>
          <w:rStyle w:val="44"/>
          <w:rFonts w:hint="eastAsia" w:ascii="宋体" w:eastAsia="宋体" w:cs="宋体"/>
          <w:i w:val="0"/>
          <w:iCs w:val="0"/>
          <w:caps w:val="0"/>
          <w:smallCaps w:val="0"/>
          <w:color w:val="000000"/>
          <w:spacing w:val="0"/>
          <w:sz w:val="21"/>
          <w:szCs w:val="21"/>
          <w:u w:val="none"/>
          <w:shd w:val="clear" w:color="auto" w:fill="FFFFFF"/>
          <w:vertAlign w:val="baseline"/>
        </w:rPr>
        <w:t>、对本国产品的支持政策</w:t>
      </w:r>
    </w:p>
    <w:p w14:paraId="34C3A30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eastAsia="宋体" w:cs="宋体"/>
          <w:i w:val="0"/>
          <w:iCs w:val="0"/>
          <w:caps w:val="0"/>
          <w:smallCaps w:val="0"/>
          <w:color w:val="000000"/>
          <w:spacing w:val="0"/>
          <w:sz w:val="21"/>
          <w:szCs w:val="21"/>
          <w:u w:val="none"/>
          <w:shd w:val="clear" w:color="auto" w:fill="FFFFFF"/>
          <w:vertAlign w:val="baseline"/>
        </w:rPr>
      </w:pPr>
      <w:r>
        <w:rPr>
          <w:rFonts w:hint="eastAsia" w:ascii="宋体" w:cs="宋体"/>
          <w:i w:val="0"/>
          <w:iCs w:val="0"/>
          <w:caps w:val="0"/>
          <w:smallCaps w:val="0"/>
          <w:color w:val="000000"/>
          <w:spacing w:val="0"/>
          <w:sz w:val="21"/>
          <w:szCs w:val="21"/>
          <w:u w:val="none"/>
          <w:shd w:val="clear" w:color="auto" w:fill="FFFFFF"/>
          <w:vertAlign w:val="baseline"/>
          <w:lang w:eastAsia="zh-CN"/>
        </w:rPr>
        <w:t>根据《国务院办公厅关于在政府采购中实施本国产品标准及相关政策的通知》（国办发〔2025〕34号）和《关于贯彻落实</w:t>
      </w:r>
      <w:r>
        <w:rPr>
          <w:rFonts w:hint="eastAsia" w:ascii="宋体" w:cs="宋体"/>
          <w:i w:val="0"/>
          <w:iCs w:val="0"/>
          <w:caps w:val="0"/>
          <w:smallCaps w:val="0"/>
          <w:color w:val="000000"/>
          <w:spacing w:val="0"/>
          <w:sz w:val="21"/>
          <w:szCs w:val="21"/>
          <w:u w:val="none"/>
          <w:shd w:val="clear" w:color="auto" w:fill="FFFFFF"/>
          <w:vertAlign w:val="baseline"/>
          <w:lang w:val="en-US" w:eastAsia="zh-CN"/>
        </w:rPr>
        <w:t>&lt;</w:t>
      </w:r>
      <w:r>
        <w:rPr>
          <w:rFonts w:hint="eastAsia" w:ascii="宋体" w:cs="宋体"/>
          <w:i w:val="0"/>
          <w:iCs w:val="0"/>
          <w:caps w:val="0"/>
          <w:smallCaps w:val="0"/>
          <w:color w:val="000000"/>
          <w:spacing w:val="0"/>
          <w:sz w:val="21"/>
          <w:szCs w:val="21"/>
          <w:u w:val="none"/>
          <w:shd w:val="clear" w:color="auto" w:fill="FFFFFF"/>
          <w:vertAlign w:val="baseline"/>
          <w:lang w:eastAsia="zh-CN"/>
        </w:rPr>
        <w:t>国务院办公厅关于在政府采购中实施本国产品标准及相关政策的通知</w:t>
      </w:r>
      <w:r>
        <w:rPr>
          <w:rFonts w:hint="eastAsia" w:ascii="宋体" w:cs="宋体"/>
          <w:i w:val="0"/>
          <w:iCs w:val="0"/>
          <w:caps w:val="0"/>
          <w:smallCaps w:val="0"/>
          <w:color w:val="000000"/>
          <w:spacing w:val="0"/>
          <w:sz w:val="21"/>
          <w:szCs w:val="21"/>
          <w:u w:val="none"/>
          <w:shd w:val="clear" w:color="auto" w:fill="FFFFFF"/>
          <w:vertAlign w:val="baseline"/>
          <w:lang w:val="en-US" w:eastAsia="zh-CN"/>
        </w:rPr>
        <w:t>&gt;</w:t>
      </w:r>
      <w:r>
        <w:rPr>
          <w:rFonts w:hint="eastAsia" w:ascii="宋体" w:cs="宋体"/>
          <w:i w:val="0"/>
          <w:iCs w:val="0"/>
          <w:caps w:val="0"/>
          <w:smallCaps w:val="0"/>
          <w:color w:val="000000"/>
          <w:spacing w:val="0"/>
          <w:sz w:val="21"/>
          <w:szCs w:val="21"/>
          <w:u w:val="none"/>
          <w:shd w:val="clear" w:color="auto" w:fill="FFFFFF"/>
          <w:vertAlign w:val="baseline"/>
          <w:lang w:eastAsia="zh-CN"/>
        </w:rPr>
        <w:t>的意见》（财库〔2025〕30号），</w:t>
      </w:r>
      <w:r>
        <w:rPr>
          <w:rFonts w:hint="eastAsia" w:ascii="宋体" w:eastAsia="宋体" w:cs="宋体"/>
          <w:i w:val="0"/>
          <w:iCs w:val="0"/>
          <w:caps w:val="0"/>
          <w:smallCaps w:val="0"/>
          <w:color w:val="000000"/>
          <w:spacing w:val="0"/>
          <w:sz w:val="21"/>
          <w:szCs w:val="21"/>
          <w:u w:val="none"/>
          <w:shd w:val="clear" w:color="auto" w:fill="FFFFFF"/>
          <w:vertAlign w:val="baseline"/>
        </w:rPr>
        <w:t>政府采购活动中既有本国产品又有非本国产品参与竞争的，依法对本国产品给予价格评审优惠，</w:t>
      </w:r>
      <w:r>
        <w:rPr>
          <w:rFonts w:hint="eastAsia" w:ascii="宋体" w:eastAsia="宋体" w:cs="宋体"/>
          <w:b/>
          <w:bCs/>
          <w:i w:val="0"/>
          <w:iCs w:val="0"/>
          <w:caps w:val="0"/>
          <w:smallCaps w:val="0"/>
          <w:color w:val="000000"/>
          <w:spacing w:val="0"/>
          <w:sz w:val="21"/>
          <w:szCs w:val="21"/>
          <w:u w:val="none"/>
          <w:shd w:val="clear" w:color="auto" w:fill="FFFFFF"/>
          <w:vertAlign w:val="baseline"/>
        </w:rPr>
        <w:t>对本国产品的报价给予</w:t>
      </w:r>
      <w:r>
        <w:rPr>
          <w:rFonts w:hint="eastAsia" w:ascii="宋体" w:eastAsia="宋体" w:cs="宋体"/>
          <w:b/>
          <w:bCs/>
          <w:i w:val="0"/>
          <w:iCs w:val="0"/>
          <w:caps w:val="0"/>
          <w:smallCaps w:val="0"/>
          <w:color w:val="000000"/>
          <w:spacing w:val="0"/>
          <w:sz w:val="21"/>
          <w:szCs w:val="21"/>
          <w:u w:val="single"/>
          <w:shd w:val="clear" w:color="auto" w:fill="FFFFFF"/>
          <w:vertAlign w:val="baseline"/>
        </w:rPr>
        <w:t>20%</w:t>
      </w:r>
      <w:r>
        <w:rPr>
          <w:rFonts w:hint="eastAsia" w:ascii="宋体" w:eastAsia="宋体" w:cs="宋体"/>
          <w:b/>
          <w:bCs/>
          <w:i w:val="0"/>
          <w:iCs w:val="0"/>
          <w:caps w:val="0"/>
          <w:smallCaps w:val="0"/>
          <w:color w:val="000000"/>
          <w:spacing w:val="0"/>
          <w:sz w:val="21"/>
          <w:szCs w:val="21"/>
          <w:u w:val="none"/>
          <w:shd w:val="clear" w:color="auto" w:fill="FFFFFF"/>
          <w:vertAlign w:val="baseline"/>
        </w:rPr>
        <w:t>的价格扣除，用扣除后的价格参与评审</w:t>
      </w:r>
      <w:r>
        <w:rPr>
          <w:rFonts w:hint="eastAsia" w:ascii="宋体" w:eastAsia="宋体" w:cs="宋体"/>
          <w:i w:val="0"/>
          <w:iCs w:val="0"/>
          <w:caps w:val="0"/>
          <w:smallCaps w:val="0"/>
          <w:color w:val="000000"/>
          <w:spacing w:val="0"/>
          <w:sz w:val="21"/>
          <w:szCs w:val="21"/>
          <w:u w:val="none"/>
          <w:shd w:val="clear" w:color="auto" w:fill="FFFFFF"/>
          <w:vertAlign w:val="baseline"/>
        </w:rPr>
        <w:t>。当采购项目或者采购包中含有多种产品，供应商为该采购项目或者采购包提供的</w:t>
      </w:r>
      <w:r>
        <w:rPr>
          <w:rFonts w:hint="eastAsia" w:ascii="宋体" w:eastAsia="宋体" w:cs="宋体"/>
          <w:b/>
          <w:bCs/>
          <w:i w:val="0"/>
          <w:iCs w:val="0"/>
          <w:caps w:val="0"/>
          <w:smallCaps w:val="0"/>
          <w:color w:val="000000"/>
          <w:spacing w:val="0"/>
          <w:sz w:val="21"/>
          <w:szCs w:val="21"/>
          <w:u w:val="none"/>
          <w:shd w:val="clear" w:color="auto" w:fill="FFFFFF"/>
          <w:vertAlign w:val="baseline"/>
        </w:rPr>
        <w:t>符合本国产品标准的产品成本之和占该供应商提供的全部产品成本之和的比例达到80%以上时，依法对该供应商提供的全部产品给予价格评审优惠</w:t>
      </w:r>
      <w:r>
        <w:rPr>
          <w:rFonts w:hint="eastAsia" w:ascii="宋体" w:eastAsia="宋体" w:cs="宋体"/>
          <w:i w:val="0"/>
          <w:iCs w:val="0"/>
          <w:caps w:val="0"/>
          <w:smallCaps w:val="0"/>
          <w:color w:val="000000"/>
          <w:spacing w:val="0"/>
          <w:sz w:val="21"/>
          <w:szCs w:val="21"/>
          <w:u w:val="none"/>
          <w:shd w:val="clear" w:color="auto" w:fill="FFFFFF"/>
          <w:vertAlign w:val="baseline"/>
        </w:rPr>
        <w:t>，即对该供应商提供的全部产品的总报价给予20%的价格扣除，用扣除后的价格参与评审。</w:t>
      </w:r>
    </w:p>
    <w:p w14:paraId="42ABF569">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eastAsia="宋体" w:cs="宋体"/>
          <w:i w:val="0"/>
          <w:iCs w:val="0"/>
          <w:caps w:val="0"/>
          <w:smallCaps w:val="0"/>
          <w:color w:val="000000"/>
          <w:spacing w:val="0"/>
          <w:sz w:val="21"/>
          <w:szCs w:val="21"/>
          <w:u w:val="none"/>
          <w:shd w:val="clear" w:color="auto" w:fill="FFFFFF"/>
          <w:vertAlign w:val="baseline"/>
        </w:rPr>
      </w:pPr>
      <w:r>
        <w:rPr>
          <w:rFonts w:hint="eastAsia" w:ascii="宋体" w:eastAsia="宋体" w:cs="宋体"/>
          <w:i w:val="0"/>
          <w:iCs w:val="0"/>
          <w:caps w:val="0"/>
          <w:smallCaps w:val="0"/>
          <w:color w:val="000000"/>
          <w:spacing w:val="0"/>
          <w:sz w:val="21"/>
          <w:szCs w:val="21"/>
          <w:u w:val="none"/>
          <w:shd w:val="clear" w:color="auto"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eastAsia="宋体" w:cs="宋体"/>
          <w:i w:val="0"/>
          <w:iCs w:val="0"/>
          <w:caps w:val="0"/>
          <w:smallCaps w:val="0"/>
          <w:color w:val="000000"/>
          <w:spacing w:val="0"/>
          <w:sz w:val="21"/>
          <w:szCs w:val="21"/>
          <w:u w:val="none"/>
          <w:shd w:val="clear" w:color="auto" w:fill="FFFFFF"/>
          <w:vertAlign w:val="baseline"/>
          <w:lang w:eastAsia="zh-CN"/>
        </w:rPr>
        <w:t>，不再要求供应商提供其他证明材料。</w:t>
      </w:r>
      <w:r>
        <w:rPr>
          <w:rFonts w:hint="eastAsia" w:ascii="宋体" w:eastAsia="宋体" w:cs="宋体"/>
          <w:i w:val="0"/>
          <w:iCs w:val="0"/>
          <w:caps w:val="0"/>
          <w:smallCaps w:val="0"/>
          <w:color w:val="000000"/>
          <w:spacing w:val="0"/>
          <w:sz w:val="21"/>
          <w:szCs w:val="21"/>
          <w:u w:val="none"/>
          <w:shd w:val="clear" w:color="auto"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2EC3FA27">
      <w:pPr>
        <w:spacing w:line="360" w:lineRule="auto"/>
        <w:ind w:firstLine="487"/>
        <w:rPr>
          <w:rFonts w:ascii="Times New Roman" w:hAnsi="Times New Roman"/>
          <w:b/>
          <w:bCs/>
          <w:sz w:val="24"/>
          <w:szCs w:val="24"/>
        </w:rPr>
      </w:pPr>
    </w:p>
    <w:p w14:paraId="7249841D">
      <w:pPr>
        <w:spacing w:line="360" w:lineRule="auto"/>
        <w:ind w:firstLine="422" w:firstLineChars="200"/>
        <w:rPr>
          <w:rFonts w:ascii="宋体"/>
          <w:b/>
          <w:szCs w:val="21"/>
        </w:rPr>
      </w:pPr>
      <w:r>
        <w:rPr>
          <w:rFonts w:hint="eastAsia" w:ascii="宋体" w:eastAsia="宋体"/>
          <w:b/>
          <w:szCs w:val="21"/>
          <w:lang w:eastAsia="zh-CN"/>
        </w:rPr>
        <w:t>六</w:t>
      </w:r>
      <w:r>
        <w:rPr>
          <w:rFonts w:hint="eastAsia" w:ascii="宋体" w:eastAsia="宋体"/>
          <w:b/>
          <w:szCs w:val="21"/>
        </w:rPr>
        <w:t>、</w:t>
      </w:r>
      <w:r>
        <w:rPr>
          <w:rFonts w:hint="eastAsia" w:ascii="Times New Roman" w:hAnsi="Times New Roman"/>
          <w:b/>
          <w:szCs w:val="24"/>
        </w:rPr>
        <w:t>其他说明</w:t>
      </w:r>
    </w:p>
    <w:p w14:paraId="19F42541">
      <w:pPr>
        <w:spacing w:line="360" w:lineRule="auto"/>
        <w:ind w:firstLine="420" w:firstLineChars="200"/>
        <w:rPr>
          <w:rFonts w:ascii="宋体" w:eastAsia="宋体"/>
          <w:szCs w:val="21"/>
        </w:rPr>
      </w:pPr>
      <w:r>
        <w:rPr>
          <w:rFonts w:hint="eastAsia" w:ascii="宋体" w:eastAsia="宋体"/>
          <w:szCs w:val="24"/>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p>
    <w:p w14:paraId="35189697">
      <w:pPr>
        <w:rPr>
          <w:rFonts w:hint="eastAsia"/>
        </w:rPr>
      </w:pPr>
      <w:r>
        <w:rPr>
          <w:rFonts w:hint="eastAsia"/>
        </w:rPr>
        <w:br w:type="page"/>
      </w:r>
    </w:p>
    <w:p w14:paraId="13033140">
      <w:pPr>
        <w:pStyle w:val="2"/>
      </w:pPr>
      <w:r>
        <w:rPr>
          <w:rFonts w:hint="eastAsia"/>
        </w:rPr>
        <w:t>目   录</w:t>
      </w:r>
    </w:p>
    <w:p w14:paraId="241591C5">
      <w:pPr>
        <w:rPr>
          <w:b/>
          <w:sz w:val="24"/>
        </w:rPr>
      </w:pPr>
      <w:r>
        <w:rPr>
          <w:rFonts w:hint="eastAsia"/>
          <w:b/>
          <w:sz w:val="24"/>
        </w:rPr>
        <w:t>第一册  专用条款</w:t>
      </w:r>
    </w:p>
    <w:p w14:paraId="1E53B8AD">
      <w:pPr>
        <w:ind w:left="630" w:leftChars="300" w:firstLine="411" w:firstLineChars="196"/>
        <w:rPr>
          <w:rFonts w:ascii="宋体"/>
          <w:szCs w:val="21"/>
        </w:rPr>
      </w:pPr>
      <w:r>
        <w:rPr>
          <w:rFonts w:hint="eastAsia" w:ascii="宋体"/>
          <w:szCs w:val="21"/>
        </w:rPr>
        <w:t>关键信息</w:t>
      </w:r>
    </w:p>
    <w:p w14:paraId="39685F7B">
      <w:pPr>
        <w:ind w:left="630" w:leftChars="300" w:firstLine="411" w:firstLineChars="196"/>
        <w:rPr>
          <w:rFonts w:ascii="宋体"/>
          <w:szCs w:val="21"/>
        </w:rPr>
      </w:pPr>
      <w:r>
        <w:rPr>
          <w:rFonts w:hint="eastAsia" w:ascii="宋体"/>
          <w:szCs w:val="21"/>
        </w:rPr>
        <w:t>第一章  招标公告</w:t>
      </w:r>
    </w:p>
    <w:p w14:paraId="049BAC3F">
      <w:pPr>
        <w:ind w:left="630" w:leftChars="300" w:firstLine="411" w:firstLineChars="196"/>
        <w:rPr>
          <w:rFonts w:ascii="宋体"/>
          <w:szCs w:val="21"/>
        </w:rPr>
      </w:pPr>
      <w:r>
        <w:rPr>
          <w:rFonts w:hint="eastAsia" w:ascii="宋体"/>
          <w:szCs w:val="21"/>
        </w:rPr>
        <w:t>第二章  招标项目需求</w:t>
      </w:r>
    </w:p>
    <w:p w14:paraId="435CC6B3">
      <w:pPr>
        <w:ind w:left="630" w:leftChars="300" w:firstLine="411" w:firstLineChars="196"/>
        <w:rPr>
          <w:rFonts w:ascii="宋体"/>
          <w:szCs w:val="21"/>
        </w:rPr>
      </w:pPr>
      <w:r>
        <w:rPr>
          <w:rFonts w:hint="eastAsia" w:ascii="宋体"/>
          <w:szCs w:val="21"/>
        </w:rPr>
        <w:t>第三章  投标文件格式、附件</w:t>
      </w:r>
    </w:p>
    <w:p w14:paraId="4D12340B">
      <w:pPr>
        <w:ind w:left="630" w:leftChars="300" w:firstLine="411" w:firstLineChars="196"/>
        <w:rPr>
          <w:rFonts w:ascii="宋体"/>
          <w:szCs w:val="21"/>
        </w:rPr>
      </w:pPr>
      <w:r>
        <w:rPr>
          <w:rFonts w:hint="eastAsia" w:ascii="宋体"/>
          <w:szCs w:val="21"/>
        </w:rPr>
        <w:t>第四章  合同及履约情况反馈格式</w:t>
      </w:r>
    </w:p>
    <w:p w14:paraId="52BB489F">
      <w:pPr>
        <w:ind w:left="630" w:leftChars="300" w:firstLine="411" w:firstLineChars="196"/>
        <w:rPr>
          <w:rFonts w:ascii="宋体"/>
          <w:szCs w:val="21"/>
        </w:rPr>
      </w:pPr>
      <w:r>
        <w:rPr>
          <w:rFonts w:hint="eastAsia" w:ascii="宋体"/>
          <w:szCs w:val="21"/>
        </w:rPr>
        <w:t>第五章  附件</w:t>
      </w:r>
    </w:p>
    <w:p w14:paraId="597F1EC9">
      <w:pPr>
        <w:ind w:left="630" w:leftChars="300" w:firstLine="411" w:firstLineChars="196"/>
        <w:rPr>
          <w:rFonts w:ascii="宋体"/>
          <w:szCs w:val="21"/>
        </w:rPr>
      </w:pPr>
    </w:p>
    <w:p w14:paraId="2B8AF716">
      <w:pPr>
        <w:rPr>
          <w:b/>
          <w:sz w:val="24"/>
        </w:rPr>
      </w:pPr>
    </w:p>
    <w:p w14:paraId="031BDA8C">
      <w:pPr>
        <w:rPr>
          <w:b/>
          <w:sz w:val="24"/>
        </w:rPr>
      </w:pPr>
      <w:r>
        <w:rPr>
          <w:rFonts w:hint="eastAsia"/>
          <w:b/>
          <w:sz w:val="24"/>
        </w:rPr>
        <w:t>第二册  通用条款</w:t>
      </w:r>
    </w:p>
    <w:p w14:paraId="4EE54874">
      <w:pPr>
        <w:ind w:left="630" w:leftChars="300" w:firstLine="411" w:firstLineChars="196"/>
        <w:rPr>
          <w:rFonts w:ascii="宋体"/>
          <w:szCs w:val="21"/>
        </w:rPr>
      </w:pPr>
      <w:r>
        <w:rPr>
          <w:rFonts w:hint="eastAsia" w:ascii="宋体"/>
          <w:szCs w:val="21"/>
        </w:rPr>
        <w:t>第一章  总则</w:t>
      </w:r>
    </w:p>
    <w:p w14:paraId="3E38ABFF">
      <w:pPr>
        <w:ind w:left="630" w:leftChars="300" w:firstLine="411" w:firstLineChars="196"/>
        <w:rPr>
          <w:rFonts w:ascii="宋体"/>
          <w:szCs w:val="21"/>
        </w:rPr>
      </w:pPr>
      <w:r>
        <w:rPr>
          <w:rFonts w:hint="eastAsia" w:ascii="宋体"/>
          <w:szCs w:val="21"/>
        </w:rPr>
        <w:t>第二章  招标文件</w:t>
      </w:r>
    </w:p>
    <w:p w14:paraId="564E32BD">
      <w:pPr>
        <w:ind w:left="630" w:leftChars="300" w:firstLine="411" w:firstLineChars="196"/>
        <w:rPr>
          <w:rFonts w:ascii="宋体"/>
          <w:szCs w:val="21"/>
        </w:rPr>
      </w:pPr>
      <w:r>
        <w:rPr>
          <w:rFonts w:hint="eastAsia" w:ascii="宋体"/>
          <w:szCs w:val="21"/>
        </w:rPr>
        <w:t>第三章  投标文件的编制</w:t>
      </w:r>
    </w:p>
    <w:p w14:paraId="24F72D06">
      <w:pPr>
        <w:ind w:left="630" w:leftChars="300" w:firstLine="411" w:firstLineChars="196"/>
        <w:rPr>
          <w:rFonts w:ascii="宋体"/>
          <w:szCs w:val="21"/>
        </w:rPr>
      </w:pPr>
      <w:r>
        <w:rPr>
          <w:rFonts w:hint="eastAsia" w:ascii="宋体"/>
          <w:szCs w:val="21"/>
        </w:rPr>
        <w:t>第四章  投标文件的递交</w:t>
      </w:r>
    </w:p>
    <w:p w14:paraId="108F2913">
      <w:pPr>
        <w:ind w:left="630" w:leftChars="300" w:firstLine="411" w:firstLineChars="196"/>
        <w:rPr>
          <w:rFonts w:ascii="宋体"/>
          <w:szCs w:val="21"/>
        </w:rPr>
      </w:pPr>
      <w:r>
        <w:rPr>
          <w:rFonts w:hint="eastAsia" w:ascii="宋体"/>
          <w:szCs w:val="21"/>
        </w:rPr>
        <w:t>第五章  开标</w:t>
      </w:r>
    </w:p>
    <w:p w14:paraId="542AF016">
      <w:pPr>
        <w:ind w:left="630" w:leftChars="300" w:firstLine="411" w:firstLineChars="196"/>
        <w:rPr>
          <w:rFonts w:ascii="宋体"/>
          <w:szCs w:val="21"/>
        </w:rPr>
      </w:pPr>
      <w:r>
        <w:rPr>
          <w:rFonts w:hint="eastAsia" w:ascii="宋体"/>
          <w:szCs w:val="21"/>
        </w:rPr>
        <w:t>第六章  评标要求</w:t>
      </w:r>
    </w:p>
    <w:p w14:paraId="72850323">
      <w:pPr>
        <w:ind w:left="630" w:leftChars="300" w:firstLine="411" w:firstLineChars="196"/>
        <w:rPr>
          <w:rFonts w:ascii="宋体"/>
          <w:szCs w:val="21"/>
        </w:rPr>
      </w:pPr>
      <w:r>
        <w:rPr>
          <w:rFonts w:hint="eastAsia" w:ascii="宋体"/>
          <w:szCs w:val="21"/>
        </w:rPr>
        <w:t>第七章  评标程序及评标方法</w:t>
      </w:r>
    </w:p>
    <w:p w14:paraId="425DF960">
      <w:pPr>
        <w:ind w:left="630" w:leftChars="300" w:firstLine="411" w:firstLineChars="196"/>
        <w:rPr>
          <w:rFonts w:ascii="宋体"/>
          <w:szCs w:val="21"/>
        </w:rPr>
      </w:pPr>
      <w:r>
        <w:rPr>
          <w:rFonts w:hint="eastAsia" w:ascii="宋体"/>
          <w:szCs w:val="21"/>
        </w:rPr>
        <w:t>第八章  定标及公示</w:t>
      </w:r>
    </w:p>
    <w:p w14:paraId="3B9798BF">
      <w:pPr>
        <w:ind w:left="630" w:leftChars="300" w:firstLine="411" w:firstLineChars="196"/>
        <w:rPr>
          <w:rFonts w:ascii="宋体"/>
          <w:szCs w:val="21"/>
        </w:rPr>
      </w:pPr>
      <w:r>
        <w:rPr>
          <w:rFonts w:hint="eastAsia" w:ascii="宋体"/>
          <w:szCs w:val="21"/>
        </w:rPr>
        <w:t>第九章  公开招标失败的后续处理</w:t>
      </w:r>
    </w:p>
    <w:p w14:paraId="7C385DE2">
      <w:pPr>
        <w:ind w:left="630" w:leftChars="300" w:firstLine="411" w:firstLineChars="196"/>
        <w:rPr>
          <w:rFonts w:ascii="宋体"/>
          <w:szCs w:val="21"/>
        </w:rPr>
      </w:pPr>
      <w:r>
        <w:rPr>
          <w:rFonts w:hint="eastAsia" w:ascii="宋体"/>
          <w:szCs w:val="21"/>
        </w:rPr>
        <w:t>第十章  合同的授予与备案</w:t>
      </w:r>
    </w:p>
    <w:p w14:paraId="1B91B4FE">
      <w:pPr>
        <w:ind w:left="630" w:leftChars="300" w:firstLine="411" w:firstLineChars="196"/>
        <w:rPr>
          <w:rFonts w:ascii="宋体"/>
          <w:szCs w:val="21"/>
        </w:rPr>
      </w:pPr>
      <w:r>
        <w:rPr>
          <w:rFonts w:hint="eastAsia" w:ascii="宋体"/>
          <w:szCs w:val="21"/>
        </w:rPr>
        <w:t>第十一章  质疑处理</w:t>
      </w:r>
    </w:p>
    <w:p w14:paraId="660C0315">
      <w:pPr>
        <w:rPr>
          <w:sz w:val="24"/>
        </w:rPr>
      </w:pPr>
    </w:p>
    <w:p w14:paraId="7F63743A">
      <w:pPr>
        <w:rPr>
          <w:b/>
        </w:rPr>
      </w:pPr>
      <w:r>
        <w:rPr>
          <w:rFonts w:hint="eastAsia"/>
          <w:b/>
        </w:rPr>
        <w:t>备注：</w:t>
      </w:r>
    </w:p>
    <w:p w14:paraId="66A7EF23">
      <w:pPr>
        <w:spacing w:line="360" w:lineRule="auto"/>
        <w:ind w:firstLine="420" w:firstLineChars="200"/>
        <w:jc w:val="left"/>
        <w:rPr>
          <w:rFonts w:ascii="宋体"/>
          <w:szCs w:val="21"/>
        </w:rPr>
      </w:pPr>
      <w:r>
        <w:rPr>
          <w:rFonts w:hint="eastAsia" w:ascii="宋体"/>
          <w:szCs w:val="21"/>
        </w:rPr>
        <w:t>1.本招标文件分为第一册“专用条款”和第二册“通用条款”。</w:t>
      </w:r>
    </w:p>
    <w:p w14:paraId="4A7B6172">
      <w:pPr>
        <w:spacing w:line="360" w:lineRule="auto"/>
        <w:ind w:firstLine="420" w:firstLineChars="200"/>
        <w:jc w:val="left"/>
        <w:rPr>
          <w:rFonts w:ascii="宋体"/>
          <w:szCs w:val="21"/>
        </w:rPr>
      </w:pPr>
      <w:r>
        <w:rPr>
          <w:rFonts w:hint="eastAsia" w:ascii="宋体"/>
          <w:szCs w:val="21"/>
        </w:rPr>
        <w:t>2.“专用条款”是对本次采购项目的具体要求，包含招标公告、招标项目需求、投标文件格式、合同及履约情况反馈格式等内容。</w:t>
      </w:r>
    </w:p>
    <w:p w14:paraId="70F80408">
      <w:pPr>
        <w:spacing w:line="360" w:lineRule="auto"/>
        <w:ind w:firstLine="420" w:firstLineChars="200"/>
        <w:jc w:val="left"/>
        <w:rPr>
          <w:rFonts w:ascii="宋体"/>
          <w:szCs w:val="21"/>
        </w:rPr>
      </w:pPr>
      <w:r>
        <w:rPr>
          <w:rFonts w:hint="eastAsia" w:ascii="宋体"/>
          <w:szCs w:val="21"/>
        </w:rPr>
        <w:t>3.“通用条款”是适用于政府采购项目的基础性条款，具有普遍性和通用性。</w:t>
      </w:r>
    </w:p>
    <w:p w14:paraId="60FB3510">
      <w:pPr>
        <w:spacing w:line="360" w:lineRule="auto"/>
        <w:ind w:firstLine="420" w:firstLineChars="200"/>
        <w:jc w:val="left"/>
        <w:rPr>
          <w:rFonts w:ascii="宋体"/>
          <w:szCs w:val="21"/>
        </w:rPr>
      </w:pPr>
      <w:r>
        <w:rPr>
          <w:rFonts w:hint="eastAsia" w:ascii="宋体"/>
          <w:szCs w:val="21"/>
        </w:rPr>
        <w:t>4.当出现“专用条款”和“通用条款”表述不一致或有冲突时，以“专用条款”为准。</w:t>
      </w:r>
    </w:p>
    <w:p w14:paraId="1A44EA32">
      <w:pPr>
        <w:rPr>
          <w:b/>
          <w:sz w:val="24"/>
        </w:rPr>
      </w:pPr>
    </w:p>
    <w:p w14:paraId="733198F9">
      <w:pPr>
        <w:rPr>
          <w:rFonts w:ascii="宋体"/>
          <w:szCs w:val="21"/>
        </w:rPr>
      </w:pPr>
      <w:r>
        <w:rPr>
          <w:rFonts w:hint="eastAsia"/>
          <w:sz w:val="24"/>
        </w:rPr>
        <w:t xml:space="preserve">  </w:t>
      </w:r>
    </w:p>
    <w:p w14:paraId="60E2A757">
      <w:pPr>
        <w:pStyle w:val="2"/>
        <w:rPr>
          <w:sz w:val="24"/>
        </w:rPr>
      </w:pPr>
      <w:r>
        <w:br w:type="page"/>
      </w:r>
      <w:bookmarkStart w:id="0" w:name="bt投标函"/>
      <w:bookmarkEnd w:id="0"/>
      <w:bookmarkStart w:id="1" w:name="bt商务标投标文件格式"/>
      <w:bookmarkEnd w:id="1"/>
      <w:bookmarkStart w:id="2" w:name="bt投标报价汇总表"/>
      <w:bookmarkEnd w:id="2"/>
      <w:bookmarkStart w:id="3" w:name="bt合同条款"/>
      <w:bookmarkEnd w:id="3"/>
      <w:bookmarkStart w:id="4" w:name="bt投标人情况介绍"/>
      <w:bookmarkEnd w:id="4"/>
      <w:bookmarkStart w:id="5" w:name="合同格式"/>
      <w:bookmarkEnd w:id="5"/>
      <w:bookmarkStart w:id="6" w:name="bt本工程承诺书"/>
      <w:bookmarkEnd w:id="6"/>
      <w:bookmarkStart w:id="7" w:name="bt开标一览表"/>
      <w:bookmarkEnd w:id="7"/>
      <w:bookmarkStart w:id="8" w:name="bt合同格式"/>
      <w:bookmarkEnd w:id="8"/>
      <w:bookmarkStart w:id="9" w:name="bt技术标投标文件格式"/>
      <w:bookmarkEnd w:id="9"/>
      <w:bookmarkStart w:id="10" w:name="bt投标人须知"/>
      <w:bookmarkEnd w:id="10"/>
      <w:bookmarkStart w:id="11" w:name="bt其他资料2"/>
      <w:bookmarkEnd w:id="11"/>
      <w:bookmarkStart w:id="12" w:name="bt投标文件签署授权委托书"/>
      <w:bookmarkEnd w:id="12"/>
      <w:bookmarkStart w:id="13" w:name="bt其他资料由投标人自定"/>
      <w:bookmarkEnd w:id="13"/>
      <w:bookmarkStart w:id="14" w:name="bt合同条款及格式"/>
      <w:bookmarkEnd w:id="14"/>
      <w:bookmarkStart w:id="15" w:name="bt项目管理班子配备情况"/>
      <w:bookmarkEnd w:id="15"/>
      <w:bookmarkStart w:id="16" w:name="bt说明"/>
      <w:bookmarkEnd w:id="16"/>
      <w:r>
        <w:rPr>
          <w:rFonts w:hint="eastAsia"/>
        </w:rPr>
        <w:t>第一册  专用条款</w:t>
      </w:r>
    </w:p>
    <w:p w14:paraId="14B4B765">
      <w:pPr>
        <w:keepNext/>
        <w:keepLines/>
        <w:widowControl w:val="0"/>
        <w:adjustRightInd w:val="0"/>
        <w:spacing w:before="260" w:after="260" w:line="360" w:lineRule="exact"/>
        <w:jc w:val="center"/>
        <w:textAlignment w:val="baseline"/>
        <w:outlineLvl w:val="1"/>
        <w:rPr>
          <w:rFonts w:ascii="宋体"/>
          <w:b/>
          <w:bCs/>
          <w:kern w:val="0"/>
          <w:sz w:val="24"/>
          <w:szCs w:val="20"/>
        </w:rPr>
      </w:pPr>
      <w:r>
        <w:rPr>
          <w:rFonts w:hint="eastAsia" w:ascii="宋体"/>
          <w:b/>
          <w:bCs/>
          <w:kern w:val="0"/>
          <w:sz w:val="24"/>
          <w:szCs w:val="20"/>
        </w:rPr>
        <w:t>第一章  招标公告</w:t>
      </w:r>
    </w:p>
    <w:p w14:paraId="12C788A9">
      <w:pPr>
        <w:pStyle w:val="37"/>
        <w:widowControl/>
        <w:spacing w:line="360" w:lineRule="exact"/>
        <w:rPr>
          <w:rFonts w:ascii="宋体"/>
          <w:sz w:val="21"/>
        </w:rPr>
      </w:pPr>
      <w:r>
        <w:rPr>
          <w:rFonts w:ascii="宋体"/>
          <w:sz w:val="21"/>
        </w:rPr>
        <w:t>项目概况</w:t>
      </w:r>
      <w:r>
        <w:rPr>
          <w:rFonts w:hint="eastAsia" w:ascii="宋体"/>
          <w:sz w:val="21"/>
        </w:rPr>
        <w:t>:</w:t>
      </w:r>
    </w:p>
    <w:p w14:paraId="42AFE0FA">
      <w:pPr>
        <w:pStyle w:val="37"/>
        <w:widowControl/>
        <w:spacing w:line="360" w:lineRule="exact"/>
        <w:ind w:firstLine="424" w:firstLineChars="202"/>
        <w:rPr>
          <w:rFonts w:ascii="宋体"/>
          <w:sz w:val="21"/>
        </w:rPr>
      </w:pPr>
      <w:r>
        <w:rPr>
          <w:rFonts w:hint="eastAsia" w:ascii="宋体"/>
          <w:sz w:val="21"/>
          <w:lang w:eastAsia="zh-CN"/>
        </w:rPr>
        <w:t>深圳市公安局宝安分局海防查缉防控高速摩托艇采购项目</w:t>
      </w:r>
      <w:r>
        <w:rPr>
          <w:rFonts w:hint="eastAsia" w:ascii="宋体" w:eastAsia="宋体"/>
          <w:sz w:val="21"/>
        </w:rPr>
        <w:t>招标项目</w:t>
      </w:r>
      <w:r>
        <w:rPr>
          <w:rFonts w:ascii="宋体"/>
          <w:sz w:val="21"/>
        </w:rPr>
        <w:t xml:space="preserve">的潜在投标人应在（本公告附件中）获取招标文件，并于 </w:t>
      </w:r>
      <w:r>
        <w:rPr>
          <w:rFonts w:hint="eastAsia" w:ascii="宋体"/>
          <w:b/>
          <w:sz w:val="21"/>
          <w:u w:val="single"/>
          <w:lang w:eastAsia="zh-CN"/>
        </w:rPr>
        <w:t>2026</w:t>
      </w:r>
      <w:r>
        <w:rPr>
          <w:rFonts w:ascii="宋体"/>
          <w:b/>
          <w:sz w:val="21"/>
          <w:u w:val="single"/>
        </w:rPr>
        <w:t>年</w:t>
      </w:r>
      <w:r>
        <w:rPr>
          <w:rFonts w:hint="eastAsia" w:ascii="宋体"/>
          <w:b/>
          <w:sz w:val="21"/>
          <w:u w:val="single"/>
        </w:rPr>
        <w:t>**</w:t>
      </w:r>
      <w:r>
        <w:rPr>
          <w:rFonts w:ascii="宋体"/>
          <w:b/>
          <w:sz w:val="21"/>
          <w:u w:val="single"/>
        </w:rPr>
        <w:t>月</w:t>
      </w:r>
      <w:r>
        <w:rPr>
          <w:rFonts w:hint="eastAsia" w:ascii="宋体"/>
          <w:b/>
          <w:sz w:val="21"/>
          <w:u w:val="single"/>
        </w:rPr>
        <w:t>**</w:t>
      </w:r>
      <w:r>
        <w:rPr>
          <w:rFonts w:ascii="宋体"/>
          <w:b/>
          <w:sz w:val="21"/>
          <w:u w:val="single"/>
        </w:rPr>
        <w:t>日</w:t>
      </w:r>
      <w:r>
        <w:rPr>
          <w:rFonts w:hint="eastAsia" w:ascii="宋体"/>
          <w:b/>
          <w:sz w:val="21"/>
          <w:u w:val="single"/>
        </w:rPr>
        <w:t>14:00</w:t>
      </w:r>
      <w:r>
        <w:rPr>
          <w:rFonts w:ascii="宋体"/>
          <w:b/>
          <w:sz w:val="21"/>
          <w:u w:val="single"/>
        </w:rPr>
        <w:t>（北京时间）</w:t>
      </w:r>
      <w:r>
        <w:rPr>
          <w:rFonts w:ascii="宋体"/>
          <w:sz w:val="21"/>
        </w:rPr>
        <w:t xml:space="preserve">前递交投标文件。 </w:t>
      </w:r>
    </w:p>
    <w:p w14:paraId="4CABC76A">
      <w:pPr>
        <w:pStyle w:val="37"/>
        <w:widowControl/>
        <w:spacing w:line="360" w:lineRule="exact"/>
        <w:rPr>
          <w:rFonts w:ascii="宋体"/>
          <w:sz w:val="21"/>
        </w:rPr>
      </w:pPr>
    </w:p>
    <w:p w14:paraId="338ED09F">
      <w:pPr>
        <w:pStyle w:val="37"/>
        <w:widowControl/>
        <w:spacing w:line="360" w:lineRule="exact"/>
        <w:rPr>
          <w:rFonts w:ascii="宋体"/>
          <w:sz w:val="21"/>
        </w:rPr>
      </w:pPr>
      <w:r>
        <w:rPr>
          <w:rFonts w:ascii="宋体"/>
          <w:sz w:val="21"/>
        </w:rPr>
        <w:t>一、项目基本情况</w:t>
      </w:r>
    </w:p>
    <w:p w14:paraId="491A6618">
      <w:pPr>
        <w:pStyle w:val="37"/>
        <w:widowControl/>
        <w:spacing w:line="360" w:lineRule="exact"/>
        <w:ind w:firstLine="424" w:firstLineChars="202"/>
        <w:rPr>
          <w:rFonts w:hint="eastAsia" w:ascii="宋体" w:eastAsia="宋体"/>
          <w:sz w:val="21"/>
          <w:szCs w:val="21"/>
          <w:lang w:eastAsia="zh-CN"/>
        </w:rPr>
      </w:pPr>
      <w:r>
        <w:rPr>
          <w:rFonts w:ascii="宋体"/>
          <w:sz w:val="21"/>
          <w:szCs w:val="21"/>
        </w:rPr>
        <w:t>1</w:t>
      </w:r>
      <w:r>
        <w:rPr>
          <w:rFonts w:hint="eastAsia" w:ascii="宋体"/>
          <w:sz w:val="21"/>
          <w:szCs w:val="21"/>
          <w:lang w:val="en-US" w:eastAsia="zh-CN"/>
        </w:rPr>
        <w:t>.</w:t>
      </w:r>
      <w:r>
        <w:rPr>
          <w:rFonts w:ascii="宋体"/>
          <w:sz w:val="21"/>
          <w:szCs w:val="21"/>
        </w:rPr>
        <w:t>项目编号：</w:t>
      </w:r>
      <w:r>
        <w:rPr>
          <w:rFonts w:hint="eastAsia" w:ascii="宋体"/>
          <w:sz w:val="21"/>
          <w:szCs w:val="21"/>
          <w:lang w:eastAsia="zh-CN"/>
        </w:rPr>
        <w:t>BADL2026000103</w:t>
      </w:r>
    </w:p>
    <w:p w14:paraId="7C3D1CA1">
      <w:pPr>
        <w:pStyle w:val="37"/>
        <w:widowControl/>
        <w:spacing w:line="360" w:lineRule="exact"/>
        <w:ind w:firstLine="424" w:firstLineChars="202"/>
        <w:rPr>
          <w:rFonts w:hint="eastAsia" w:ascii="宋体" w:eastAsia="宋体"/>
          <w:sz w:val="21"/>
          <w:szCs w:val="21"/>
          <w:lang w:eastAsia="zh-CN"/>
        </w:rPr>
      </w:pPr>
      <w:r>
        <w:rPr>
          <w:rFonts w:ascii="宋体"/>
          <w:sz w:val="21"/>
          <w:szCs w:val="21"/>
        </w:rPr>
        <w:t>2</w:t>
      </w:r>
      <w:r>
        <w:rPr>
          <w:rFonts w:hint="eastAsia" w:ascii="宋体"/>
          <w:sz w:val="21"/>
          <w:szCs w:val="21"/>
          <w:lang w:val="en-US" w:eastAsia="zh-CN"/>
        </w:rPr>
        <w:t>.</w:t>
      </w:r>
      <w:r>
        <w:rPr>
          <w:rFonts w:ascii="宋体"/>
          <w:sz w:val="21"/>
          <w:szCs w:val="21"/>
        </w:rPr>
        <w:t>项目名称：</w:t>
      </w:r>
      <w:r>
        <w:rPr>
          <w:rFonts w:hint="eastAsia" w:ascii="宋体"/>
          <w:sz w:val="21"/>
          <w:szCs w:val="21"/>
          <w:lang w:eastAsia="zh-CN"/>
        </w:rPr>
        <w:t>深圳市公安局宝安分局海防查缉防控高速摩托艇采购项目</w:t>
      </w:r>
    </w:p>
    <w:p w14:paraId="3BBB8EBE">
      <w:pPr>
        <w:pStyle w:val="37"/>
        <w:widowControl/>
        <w:spacing w:line="360" w:lineRule="exact"/>
        <w:ind w:firstLine="424" w:firstLineChars="202"/>
        <w:rPr>
          <w:rFonts w:hint="eastAsia" w:ascii="宋体" w:eastAsia="宋体"/>
          <w:sz w:val="21"/>
          <w:szCs w:val="21"/>
          <w:lang w:eastAsia="zh-CN"/>
        </w:rPr>
      </w:pPr>
      <w:r>
        <w:rPr>
          <w:rFonts w:ascii="宋体"/>
          <w:sz w:val="21"/>
          <w:szCs w:val="21"/>
        </w:rPr>
        <w:t>3</w:t>
      </w:r>
      <w:r>
        <w:rPr>
          <w:rFonts w:hint="eastAsia" w:ascii="宋体"/>
          <w:sz w:val="21"/>
          <w:szCs w:val="21"/>
          <w:lang w:val="en-US" w:eastAsia="zh-CN"/>
        </w:rPr>
        <w:t>.</w:t>
      </w:r>
      <w:r>
        <w:rPr>
          <w:rFonts w:ascii="宋体"/>
          <w:sz w:val="21"/>
          <w:szCs w:val="21"/>
        </w:rPr>
        <w:t>预算金额</w:t>
      </w:r>
      <w:r>
        <w:rPr>
          <w:rFonts w:hint="eastAsia" w:ascii="宋体"/>
          <w:sz w:val="21"/>
          <w:szCs w:val="21"/>
        </w:rPr>
        <w:t>：</w:t>
      </w:r>
      <w:r>
        <w:rPr>
          <w:rFonts w:hint="eastAsia" w:ascii="宋体"/>
          <w:sz w:val="21"/>
          <w:szCs w:val="21"/>
          <w:lang w:val="en-US" w:eastAsia="zh-CN"/>
        </w:rPr>
        <w:t>人民币10,500,000.00</w:t>
      </w:r>
      <w:r>
        <w:rPr>
          <w:rFonts w:hint="eastAsia" w:ascii="宋体"/>
          <w:sz w:val="21"/>
          <w:szCs w:val="21"/>
          <w:lang w:eastAsia="zh-CN"/>
        </w:rPr>
        <w:t>元</w:t>
      </w:r>
    </w:p>
    <w:p w14:paraId="65BB04D1">
      <w:pPr>
        <w:pStyle w:val="37"/>
        <w:widowControl/>
        <w:spacing w:line="360" w:lineRule="exact"/>
        <w:ind w:firstLine="424" w:firstLineChars="202"/>
        <w:rPr>
          <w:rFonts w:ascii="宋体"/>
          <w:sz w:val="21"/>
          <w:szCs w:val="21"/>
        </w:rPr>
      </w:pPr>
      <w:r>
        <w:rPr>
          <w:rFonts w:ascii="宋体"/>
          <w:sz w:val="21"/>
          <w:szCs w:val="21"/>
        </w:rPr>
        <w:t>4</w:t>
      </w:r>
      <w:r>
        <w:rPr>
          <w:rFonts w:hint="eastAsia" w:ascii="宋体"/>
          <w:sz w:val="21"/>
          <w:szCs w:val="21"/>
          <w:lang w:val="en-US" w:eastAsia="zh-CN"/>
        </w:rPr>
        <w:t>.</w:t>
      </w:r>
      <w:r>
        <w:rPr>
          <w:rFonts w:ascii="宋体"/>
          <w:sz w:val="21"/>
          <w:szCs w:val="21"/>
        </w:rPr>
        <w:t>最高限价：</w:t>
      </w:r>
      <w:r>
        <w:rPr>
          <w:rFonts w:hint="eastAsia" w:ascii="宋体"/>
          <w:sz w:val="21"/>
          <w:szCs w:val="21"/>
          <w:lang w:val="en-US" w:eastAsia="zh-CN"/>
        </w:rPr>
        <w:t>人民币10,500,000.00</w:t>
      </w:r>
      <w:r>
        <w:rPr>
          <w:rFonts w:hint="eastAsia" w:ascii="宋体"/>
          <w:sz w:val="21"/>
          <w:szCs w:val="21"/>
          <w:lang w:eastAsia="zh-CN"/>
        </w:rPr>
        <w:t>元</w:t>
      </w:r>
    </w:p>
    <w:p w14:paraId="695C0B29">
      <w:pPr>
        <w:pStyle w:val="37"/>
        <w:widowControl/>
        <w:spacing w:line="360" w:lineRule="exact"/>
        <w:ind w:firstLine="424" w:firstLineChars="202"/>
        <w:rPr>
          <w:rFonts w:ascii="宋体"/>
          <w:sz w:val="21"/>
          <w:szCs w:val="21"/>
        </w:rPr>
      </w:pPr>
      <w:r>
        <w:rPr>
          <w:rFonts w:ascii="宋体"/>
          <w:sz w:val="21"/>
          <w:szCs w:val="21"/>
        </w:rPr>
        <w:t>5</w:t>
      </w:r>
      <w:r>
        <w:rPr>
          <w:rFonts w:hint="eastAsia" w:ascii="宋体"/>
          <w:sz w:val="21"/>
          <w:szCs w:val="21"/>
          <w:lang w:val="en-US" w:eastAsia="zh-CN"/>
        </w:rPr>
        <w:t>.</w:t>
      </w:r>
      <w:r>
        <w:rPr>
          <w:rFonts w:ascii="宋体"/>
          <w:sz w:val="21"/>
          <w:szCs w:val="21"/>
        </w:rPr>
        <w:t>采购需求：</w:t>
      </w:r>
    </w:p>
    <w:tbl>
      <w:tblPr>
        <w:tblStyle w:val="42"/>
        <w:tblW w:w="8505" w:type="dxa"/>
        <w:tblInd w:w="60" w:type="dxa"/>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Layout w:type="autofit"/>
        <w:tblCellMar>
          <w:top w:w="60" w:type="dxa"/>
          <w:left w:w="60" w:type="dxa"/>
          <w:bottom w:w="60" w:type="dxa"/>
          <w:right w:w="60" w:type="dxa"/>
        </w:tblCellMar>
      </w:tblPr>
      <w:tblGrid>
        <w:gridCol w:w="3261"/>
        <w:gridCol w:w="850"/>
        <w:gridCol w:w="992"/>
        <w:gridCol w:w="2552"/>
        <w:gridCol w:w="850"/>
      </w:tblGrid>
      <w:tr w14:paraId="5F09E908">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3261"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0436E129">
            <w:pPr>
              <w:widowControl/>
              <w:spacing w:line="360" w:lineRule="exact"/>
              <w:jc w:val="center"/>
              <w:rPr>
                <w:rFonts w:ascii="宋体"/>
              </w:rPr>
            </w:pPr>
            <w:r>
              <w:rPr>
                <w:rFonts w:ascii="宋体"/>
              </w:rPr>
              <w:t>标的名称</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3C8C4F1E">
            <w:pPr>
              <w:widowControl/>
              <w:spacing w:line="360" w:lineRule="exact"/>
              <w:jc w:val="center"/>
              <w:rPr>
                <w:rFonts w:ascii="宋体"/>
              </w:rPr>
            </w:pPr>
            <w:r>
              <w:rPr>
                <w:rFonts w:ascii="宋体"/>
              </w:rPr>
              <w:t>数量</w:t>
            </w:r>
          </w:p>
        </w:tc>
        <w:tc>
          <w:tcPr>
            <w:tcW w:w="992"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07B615DC">
            <w:pPr>
              <w:widowControl/>
              <w:spacing w:line="360" w:lineRule="exact"/>
              <w:jc w:val="center"/>
              <w:rPr>
                <w:rFonts w:ascii="宋体"/>
              </w:rPr>
            </w:pPr>
            <w:r>
              <w:rPr>
                <w:rFonts w:ascii="宋体"/>
              </w:rPr>
              <w:t>单位</w:t>
            </w:r>
          </w:p>
        </w:tc>
        <w:tc>
          <w:tcPr>
            <w:tcW w:w="2552"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5DA4FD0">
            <w:pPr>
              <w:widowControl/>
              <w:spacing w:line="360" w:lineRule="exact"/>
              <w:jc w:val="center"/>
              <w:rPr>
                <w:rFonts w:ascii="宋体"/>
              </w:rPr>
            </w:pPr>
            <w:r>
              <w:rPr>
                <w:rFonts w:hint="eastAsia" w:ascii="宋体"/>
              </w:rPr>
              <w:t>简要技术需求（服务需求）</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7F33F8F7">
            <w:pPr>
              <w:widowControl/>
              <w:spacing w:line="360" w:lineRule="exact"/>
              <w:jc w:val="center"/>
              <w:rPr>
                <w:rFonts w:ascii="宋体"/>
              </w:rPr>
            </w:pPr>
            <w:r>
              <w:rPr>
                <w:rFonts w:ascii="宋体"/>
              </w:rPr>
              <w:t>备注</w:t>
            </w:r>
          </w:p>
        </w:tc>
      </w:tr>
      <w:tr w14:paraId="244C6569">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3261" w:type="dxa"/>
            <w:tcBorders>
              <w:top w:val="outset" w:color="AAAAAA" w:sz="6" w:space="0"/>
              <w:left w:val="outset" w:color="AAAAAA" w:sz="6" w:space="0"/>
              <w:bottom w:val="outset" w:color="AAAAAA" w:sz="6" w:space="0"/>
              <w:right w:val="outset" w:color="AAAAAA" w:sz="6" w:space="0"/>
            </w:tcBorders>
            <w:shd w:val="clear" w:color="auto" w:fill="auto"/>
            <w:vAlign w:val="center"/>
          </w:tcPr>
          <w:p w14:paraId="296DDFB5">
            <w:pPr>
              <w:widowControl/>
              <w:spacing w:line="360" w:lineRule="exact"/>
              <w:jc w:val="center"/>
              <w:rPr>
                <w:rFonts w:ascii="宋体"/>
              </w:rPr>
            </w:pPr>
            <w:r>
              <w:rPr>
                <w:rFonts w:hint="eastAsia" w:ascii="宋体"/>
              </w:rPr>
              <w:t>详见《货物清单明细》</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A2C1BB6">
            <w:pPr>
              <w:spacing w:line="360" w:lineRule="exact"/>
              <w:jc w:val="center"/>
            </w:pPr>
            <w:r>
              <w:rPr>
                <w:rFonts w:hint="eastAsia"/>
              </w:rPr>
              <w:t>1</w:t>
            </w:r>
          </w:p>
        </w:tc>
        <w:tc>
          <w:tcPr>
            <w:tcW w:w="992" w:type="dxa"/>
            <w:tcBorders>
              <w:top w:val="outset" w:color="AAAAAA" w:sz="6" w:space="0"/>
              <w:left w:val="outset" w:color="AAAAAA" w:sz="6" w:space="0"/>
              <w:bottom w:val="outset" w:color="AAAAAA" w:sz="6" w:space="0"/>
              <w:right w:val="outset" w:color="AAAAAA" w:sz="6" w:space="0"/>
            </w:tcBorders>
            <w:shd w:val="clear" w:color="auto" w:fill="auto"/>
            <w:vAlign w:val="center"/>
          </w:tcPr>
          <w:p w14:paraId="181F16B8">
            <w:pPr>
              <w:spacing w:line="360" w:lineRule="exact"/>
              <w:jc w:val="center"/>
            </w:pPr>
            <w:r>
              <w:rPr>
                <w:rFonts w:hint="eastAsia"/>
              </w:rPr>
              <w:t>批</w:t>
            </w:r>
          </w:p>
        </w:tc>
        <w:tc>
          <w:tcPr>
            <w:tcW w:w="2552"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5B46BEC">
            <w:pPr>
              <w:widowControl/>
              <w:spacing w:line="360" w:lineRule="exact"/>
              <w:jc w:val="center"/>
              <w:rPr>
                <w:lang w:val="en-US"/>
              </w:rPr>
            </w:pPr>
            <w:r>
              <w:rPr>
                <w:rFonts w:hint="eastAsia" w:ascii="宋体"/>
                <w:lang w:val="en-US" w:eastAsia="zh-CN"/>
              </w:rPr>
              <w:t>详见招标文件</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5FC0533B">
            <w:pPr>
              <w:widowControl/>
              <w:spacing w:line="360" w:lineRule="exact"/>
              <w:jc w:val="center"/>
              <w:rPr>
                <w:rFonts w:ascii="宋体"/>
              </w:rPr>
            </w:pPr>
            <w:r>
              <w:rPr>
                <w:rFonts w:hint="eastAsia" w:ascii="宋体"/>
              </w:rPr>
              <w:t>无</w:t>
            </w:r>
          </w:p>
        </w:tc>
      </w:tr>
    </w:tbl>
    <w:p w14:paraId="76B96E36">
      <w:pPr>
        <w:pStyle w:val="37"/>
        <w:widowControl/>
        <w:spacing w:line="360" w:lineRule="exact"/>
        <w:rPr>
          <w:rFonts w:ascii="宋体"/>
          <w:sz w:val="21"/>
          <w:szCs w:val="21"/>
        </w:rPr>
      </w:pPr>
    </w:p>
    <w:p w14:paraId="14E024C7">
      <w:pPr>
        <w:pStyle w:val="37"/>
        <w:widowControl/>
        <w:spacing w:line="360" w:lineRule="exact"/>
        <w:rPr>
          <w:rFonts w:ascii="宋体"/>
          <w:sz w:val="21"/>
        </w:rPr>
      </w:pPr>
      <w:r>
        <w:rPr>
          <w:rFonts w:ascii="宋体"/>
          <w:sz w:val="21"/>
        </w:rPr>
        <w:t>二、申请人的资格要求：</w:t>
      </w:r>
    </w:p>
    <w:p w14:paraId="4D975DB6">
      <w:pPr>
        <w:pStyle w:val="37"/>
        <w:spacing w:line="360" w:lineRule="exact"/>
        <w:ind w:firstLine="424" w:firstLineChars="202"/>
        <w:rPr>
          <w:rFonts w:ascii="宋体" w:eastAsia="宋体"/>
          <w:sz w:val="21"/>
        </w:rPr>
      </w:pPr>
      <w:r>
        <w:rPr>
          <w:rFonts w:ascii="宋体" w:eastAsia="宋体"/>
          <w:sz w:val="21"/>
        </w:rPr>
        <w:t>1</w:t>
      </w:r>
      <w:r>
        <w:rPr>
          <w:rFonts w:hint="eastAsia" w:ascii="宋体" w:eastAsia="宋体"/>
          <w:sz w:val="21"/>
          <w:lang w:val="en-US" w:eastAsia="zh-CN"/>
        </w:rPr>
        <w:t>.</w:t>
      </w:r>
      <w:r>
        <w:rPr>
          <w:rFonts w:ascii="宋体" w:eastAsia="宋体"/>
          <w:sz w:val="21"/>
        </w:rPr>
        <w:t>满足《中华人民共和国政府采购法》第二十二条规定</w:t>
      </w:r>
      <w:r>
        <w:rPr>
          <w:rFonts w:hint="eastAsia" w:ascii="宋体" w:eastAsia="宋体"/>
          <w:snapToGrid w:val="0"/>
          <w:sz w:val="21"/>
        </w:rPr>
        <w:t>（须提供具有独立承担民事责任能力的法人或其他组织</w:t>
      </w:r>
      <w:r>
        <w:rPr>
          <w:rFonts w:hint="eastAsia" w:ascii="宋体" w:cs="宋体"/>
          <w:snapToGrid w:val="0"/>
          <w:sz w:val="21"/>
          <w:lang w:eastAsia="zh-CN"/>
        </w:rPr>
        <w:t>或自然人</w:t>
      </w:r>
      <w:r>
        <w:rPr>
          <w:rFonts w:hint="eastAsia" w:ascii="宋体" w:eastAsia="宋体"/>
          <w:snapToGrid w:val="0"/>
          <w:sz w:val="21"/>
        </w:rPr>
        <w:t>的营业执照或法人证书等证明材料扫描件以及《</w:t>
      </w:r>
      <w:r>
        <w:rPr>
          <w:rFonts w:hint="eastAsia" w:ascii="宋体" w:eastAsia="宋体"/>
          <w:sz w:val="21"/>
        </w:rPr>
        <w:t>政府采购投标及履约承诺函</w:t>
      </w:r>
      <w:r>
        <w:rPr>
          <w:rFonts w:hint="eastAsia" w:ascii="宋体" w:eastAsia="宋体"/>
          <w:snapToGrid w:val="0"/>
          <w:sz w:val="21"/>
        </w:rPr>
        <w:t>》）。如果是分支机构参与投标，还须同时提供其具有独立法人资格的上级主体出具的</w:t>
      </w:r>
      <w:r>
        <w:rPr>
          <w:rFonts w:hint="eastAsia" w:ascii="宋体"/>
          <w:snapToGrid w:val="0"/>
          <w:sz w:val="21"/>
        </w:rPr>
        <w:t>有效授权书及</w:t>
      </w:r>
      <w:r>
        <w:rPr>
          <w:rFonts w:hint="eastAsia" w:ascii="宋体" w:eastAsia="宋体"/>
          <w:snapToGrid w:val="0"/>
          <w:sz w:val="21"/>
        </w:rPr>
        <w:t>上级主体的</w:t>
      </w:r>
      <w:r>
        <w:rPr>
          <w:rFonts w:hint="eastAsia" w:ascii="宋体"/>
          <w:snapToGrid w:val="0"/>
          <w:sz w:val="21"/>
        </w:rPr>
        <w:t>营业执照或法人证书等证明材料扫描件</w:t>
      </w:r>
      <w:r>
        <w:rPr>
          <w:rFonts w:hint="eastAsia" w:ascii="宋体" w:eastAsia="宋体"/>
          <w:snapToGrid w:val="0"/>
          <w:sz w:val="21"/>
        </w:rPr>
        <w:t>；</w:t>
      </w:r>
      <w:r>
        <w:rPr>
          <w:rFonts w:hint="eastAsia" w:ascii="宋体"/>
          <w:snapToGrid w:val="0"/>
          <w:sz w:val="21"/>
        </w:rPr>
        <w:t>本项目不接受总公司与分支机构同时参与投标，也不接受同一总公司有两个或以上分支机构参与投标，如出现以上情形，该两家或以上投标人均按无效投标处理</w:t>
      </w:r>
      <w:r>
        <w:rPr>
          <w:rFonts w:hint="eastAsia" w:ascii="宋体" w:eastAsia="宋体"/>
          <w:sz w:val="21"/>
        </w:rPr>
        <w:t>。</w:t>
      </w:r>
      <w:r>
        <w:rPr>
          <w:rFonts w:ascii="宋体" w:eastAsia="宋体"/>
          <w:sz w:val="21"/>
        </w:rPr>
        <w:t xml:space="preserve"> </w:t>
      </w:r>
    </w:p>
    <w:p w14:paraId="531D7CC3">
      <w:pPr>
        <w:spacing w:line="360" w:lineRule="exact"/>
        <w:ind w:firstLine="424" w:firstLineChars="202"/>
        <w:rPr>
          <w:rFonts w:ascii="宋体" w:hAnsi="宋体"/>
          <w:snapToGrid w:val="0"/>
          <w:color w:val="FF0000"/>
          <w:szCs w:val="22"/>
        </w:rPr>
      </w:pPr>
      <w:r>
        <w:rPr>
          <w:rFonts w:ascii="宋体" w:eastAsia="宋体"/>
          <w:sz w:val="21"/>
        </w:rPr>
        <w:t>2</w:t>
      </w:r>
      <w:r>
        <w:rPr>
          <w:rFonts w:hint="eastAsia" w:ascii="宋体" w:eastAsia="宋体"/>
          <w:sz w:val="21"/>
          <w:lang w:val="en-US" w:eastAsia="zh-CN"/>
        </w:rPr>
        <w:t>.</w:t>
      </w:r>
      <w:r>
        <w:rPr>
          <w:rFonts w:ascii="宋体" w:eastAsia="宋体"/>
          <w:sz w:val="21"/>
        </w:rPr>
        <w:t>落实政府采购政策需满足的资格要求：</w:t>
      </w:r>
      <w:r>
        <w:rPr>
          <w:rFonts w:hint="eastAsia" w:ascii="宋体" w:hAnsi="宋体"/>
          <w:snapToGrid w:val="0"/>
          <w:color w:val="FF0000"/>
        </w:rPr>
        <w:t>本项目属于专门面向中小微企业采购的项目（提供符合要求的《中小企业声明函》，且所投产品制造商均属于中型企业、小型企业或微型企业；如所投产品制造商为残疾人福利性单位或监狱企业，视同小型、微型企业，提供《残疾人福利性单位声明函》或《监狱企业声明函》及监狱企业证明文件亦视为符合）</w:t>
      </w:r>
      <w:r>
        <w:rPr>
          <w:rFonts w:hint="eastAsia" w:ascii="宋体" w:hAnsi="宋体"/>
          <w:snapToGrid w:val="0"/>
          <w:color w:val="FF0000"/>
          <w:szCs w:val="22"/>
        </w:rPr>
        <w:t>。</w:t>
      </w:r>
    </w:p>
    <w:p w14:paraId="28140A06">
      <w:pPr>
        <w:pStyle w:val="37"/>
        <w:spacing w:line="360" w:lineRule="exact"/>
        <w:ind w:firstLine="424" w:firstLineChars="202"/>
        <w:rPr>
          <w:rFonts w:ascii="宋体" w:eastAsia="宋体"/>
          <w:sz w:val="21"/>
        </w:rPr>
      </w:pPr>
      <w:r>
        <w:rPr>
          <w:rFonts w:ascii="宋体" w:eastAsia="宋体"/>
          <w:sz w:val="21"/>
        </w:rPr>
        <w:t>3</w:t>
      </w:r>
      <w:r>
        <w:rPr>
          <w:rFonts w:hint="eastAsia" w:ascii="宋体" w:eastAsia="宋体"/>
          <w:sz w:val="21"/>
          <w:lang w:val="en-US" w:eastAsia="zh-CN"/>
        </w:rPr>
        <w:t>.</w:t>
      </w:r>
      <w:r>
        <w:rPr>
          <w:rFonts w:ascii="宋体" w:eastAsia="宋体"/>
          <w:sz w:val="21"/>
        </w:rPr>
        <w:t>本项目的特定资格要求：</w:t>
      </w:r>
    </w:p>
    <w:p w14:paraId="41BF33F7">
      <w:pPr>
        <w:pStyle w:val="37"/>
        <w:spacing w:line="360" w:lineRule="exact"/>
        <w:ind w:firstLine="424" w:firstLineChars="202"/>
        <w:rPr>
          <w:rFonts w:ascii="宋体" w:eastAsia="宋体"/>
          <w:sz w:val="21"/>
        </w:rPr>
      </w:pPr>
      <w:r>
        <w:rPr>
          <w:rFonts w:hint="eastAsia" w:ascii="宋体" w:eastAsia="宋体"/>
          <w:sz w:val="21"/>
        </w:rPr>
        <w:t>（1）</w:t>
      </w:r>
      <w:r>
        <w:rPr>
          <w:rFonts w:hint="eastAsia" w:ascii="宋体" w:eastAsia="宋体"/>
          <w:snapToGrid w:val="0"/>
          <w:sz w:val="21"/>
        </w:rPr>
        <w:t>参与本项目采购活动前三年内，在经营活动中没有重大违法记录</w:t>
      </w:r>
      <w:r>
        <w:rPr>
          <w:rFonts w:hint="eastAsia" w:ascii="宋体" w:eastAsia="宋体"/>
          <w:sz w:val="21"/>
        </w:rPr>
        <w:t>（须按本项目投标文件格式要求提供《政府采购投标及履约承诺函》）；</w:t>
      </w:r>
    </w:p>
    <w:p w14:paraId="03B516EC">
      <w:pPr>
        <w:pStyle w:val="37"/>
        <w:spacing w:line="360" w:lineRule="exact"/>
        <w:ind w:firstLine="424" w:firstLineChars="202"/>
        <w:rPr>
          <w:rFonts w:ascii="宋体" w:eastAsia="宋体"/>
          <w:sz w:val="21"/>
        </w:rPr>
      </w:pPr>
      <w:r>
        <w:rPr>
          <w:rFonts w:hint="eastAsia" w:ascii="宋体" w:eastAsia="宋体"/>
          <w:sz w:val="21"/>
        </w:rPr>
        <w:t>（2）</w:t>
      </w:r>
      <w:r>
        <w:rPr>
          <w:rFonts w:hint="eastAsia" w:ascii="宋体" w:eastAsia="宋体"/>
          <w:snapToGrid w:val="0"/>
          <w:sz w:val="21"/>
        </w:rPr>
        <w:t>参与本项目政府采购活动时不存在被有关部门禁止参与政府采购活动且在有效期内的情况</w:t>
      </w:r>
      <w:r>
        <w:rPr>
          <w:rFonts w:hint="eastAsia" w:ascii="宋体" w:eastAsia="宋体"/>
          <w:sz w:val="21"/>
        </w:rPr>
        <w:t>（须按本项目投标文件格式要求提供《政府采购投标及履约承诺函》）；</w:t>
      </w:r>
    </w:p>
    <w:p w14:paraId="20947AC4">
      <w:pPr>
        <w:pStyle w:val="37"/>
        <w:spacing w:line="360" w:lineRule="exact"/>
        <w:ind w:firstLine="424" w:firstLineChars="202"/>
        <w:rPr>
          <w:rFonts w:ascii="宋体" w:eastAsia="宋体"/>
          <w:sz w:val="21"/>
        </w:rPr>
      </w:pPr>
      <w:r>
        <w:rPr>
          <w:rFonts w:hint="eastAsia" w:ascii="宋体" w:eastAsia="宋体"/>
          <w:sz w:val="21"/>
        </w:rPr>
        <w:t>（3）</w:t>
      </w:r>
      <w:r>
        <w:rPr>
          <w:rFonts w:hint="eastAsia" w:ascii="宋体" w:eastAsia="宋体"/>
          <w:snapToGrid w:val="0"/>
          <w:sz w:val="21"/>
        </w:rPr>
        <w:t>除单一来源采购项目外，为采购项目提供整体设计、规范编制或者项目管理、监理、检测等服务的供应商，不得再参加该采购项目的其他采购活动</w:t>
      </w:r>
      <w:r>
        <w:rPr>
          <w:rFonts w:hint="eastAsia" w:ascii="宋体" w:eastAsia="宋体"/>
          <w:sz w:val="21"/>
        </w:rPr>
        <w:t>（须按本项目投标文件格式要求提供《政府采购投标及履约承诺函》）</w:t>
      </w:r>
      <w:r>
        <w:rPr>
          <w:rFonts w:hint="eastAsia" w:ascii="宋体" w:eastAsia="宋体"/>
          <w:snapToGrid w:val="0"/>
          <w:sz w:val="21"/>
        </w:rPr>
        <w:t>；</w:t>
      </w:r>
    </w:p>
    <w:p w14:paraId="23ACB08B">
      <w:pPr>
        <w:spacing w:line="360" w:lineRule="exact"/>
        <w:ind w:firstLine="424" w:firstLineChars="202"/>
        <w:jc w:val="left"/>
        <w:rPr>
          <w:rFonts w:ascii="宋体" w:eastAsia="宋体"/>
        </w:rPr>
      </w:pPr>
      <w:r>
        <w:rPr>
          <w:rFonts w:hint="eastAsia" w:ascii="宋体" w:eastAsia="宋体"/>
        </w:rPr>
        <w:t>（</w:t>
      </w:r>
      <w:r>
        <w:rPr>
          <w:rFonts w:hint="eastAsia" w:ascii="宋体" w:eastAsia="宋体"/>
          <w:lang w:val="en-US" w:eastAsia="zh-CN"/>
        </w:rPr>
        <w:t>4</w:t>
      </w:r>
      <w:r>
        <w:rPr>
          <w:rFonts w:hint="eastAsia" w:ascii="宋体" w:eastAsia="宋体"/>
        </w:rPr>
        <w:t>）参与本项目政府采购活动不存在与其他采购参加人串通投标，隐瞒真实情况，提供虚假资料等违法违规情形</w:t>
      </w:r>
      <w:r>
        <w:rPr>
          <w:rFonts w:hint="eastAsia" w:ascii="宋体" w:eastAsia="宋体"/>
          <w:snapToGrid w:val="0"/>
        </w:rPr>
        <w:t>，不存在《深圳市财政局政府采购供应商信用信息管理办法》（深财规〔2023〕3号）列明的严重违法失信行为</w:t>
      </w:r>
      <w:r>
        <w:rPr>
          <w:rFonts w:hint="eastAsia" w:ascii="宋体" w:eastAsia="宋体"/>
        </w:rPr>
        <w:t>（须按本项目投标文件格式要求提供《政府采购投标及履约承诺函》）；</w:t>
      </w:r>
    </w:p>
    <w:p w14:paraId="3877E4D6">
      <w:pPr>
        <w:pStyle w:val="167"/>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eastAsia="宋体" w:cs="宋体"/>
          <w:snapToGrid w:val="0"/>
          <w:color w:val="auto"/>
          <w:sz w:val="21"/>
          <w:szCs w:val="21"/>
          <w:lang w:eastAsia="zh-CN"/>
        </w:rPr>
      </w:pPr>
      <w:r>
        <w:rPr>
          <w:rFonts w:hint="eastAsia" w:ascii="宋体" w:eastAsia="宋体" w:cs="宋体"/>
          <w:snapToGrid w:val="0"/>
          <w:color w:val="auto"/>
          <w:sz w:val="21"/>
          <w:szCs w:val="21"/>
        </w:rPr>
        <w:t>（</w:t>
      </w:r>
      <w:r>
        <w:rPr>
          <w:rFonts w:hint="eastAsia" w:ascii="宋体" w:eastAsia="宋体" w:cs="宋体"/>
          <w:snapToGrid w:val="0"/>
          <w:color w:val="auto"/>
          <w:sz w:val="21"/>
          <w:szCs w:val="21"/>
          <w:lang w:val="en-US" w:eastAsia="zh-CN"/>
        </w:rPr>
        <w:t>5</w:t>
      </w:r>
      <w:r>
        <w:rPr>
          <w:rFonts w:hint="eastAsia" w:ascii="宋体" w:eastAsia="宋体" w:cs="宋体"/>
          <w:snapToGrid w:val="0"/>
          <w:color w:val="auto"/>
          <w:sz w:val="21"/>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eastAsia="宋体"/>
          <w:snapToGrid w:val="0"/>
          <w:color w:val="auto"/>
          <w:sz w:val="21"/>
        </w:rPr>
        <w:t>单位负责人为同一人或者存在直接控股、管理关系的不同供应商，不得参加同一合同项下的政府采购活动</w:t>
      </w:r>
      <w:r>
        <w:rPr>
          <w:rFonts w:hint="eastAsia" w:ascii="宋体" w:eastAsia="宋体" w:cs="宋体"/>
          <w:snapToGrid w:val="0"/>
          <w:color w:val="auto"/>
          <w:sz w:val="21"/>
          <w:szCs w:val="21"/>
        </w:rPr>
        <w:t>（须按要求提供《供应商基本情况表》相关信息</w:t>
      </w:r>
      <w:r>
        <w:rPr>
          <w:rFonts w:hint="eastAsia" w:ascii="宋体" w:eastAsia="宋体" w:cs="宋体"/>
          <w:snapToGrid w:val="0"/>
          <w:color w:val="auto"/>
          <w:sz w:val="21"/>
          <w:szCs w:val="21"/>
          <w:lang w:eastAsia="zh-CN"/>
        </w:rPr>
        <w:t>，《供应商基本情况表》相关信息为不公开内容</w:t>
      </w:r>
      <w:r>
        <w:rPr>
          <w:rFonts w:hint="eastAsia" w:ascii="宋体" w:eastAsia="宋体" w:cs="宋体"/>
          <w:snapToGrid w:val="0"/>
          <w:color w:val="auto"/>
          <w:sz w:val="21"/>
          <w:szCs w:val="21"/>
        </w:rPr>
        <w:t>）</w:t>
      </w:r>
      <w:r>
        <w:rPr>
          <w:rFonts w:hint="eastAsia" w:ascii="宋体" w:eastAsia="宋体" w:cs="宋体"/>
          <w:snapToGrid w:val="0"/>
          <w:color w:val="auto"/>
          <w:sz w:val="21"/>
          <w:szCs w:val="21"/>
          <w:lang w:eastAsia="zh-CN"/>
        </w:rPr>
        <w:t>；</w:t>
      </w:r>
    </w:p>
    <w:p w14:paraId="0AA467AE">
      <w:pPr>
        <w:pStyle w:val="37"/>
        <w:spacing w:line="360" w:lineRule="exact"/>
        <w:ind w:firstLine="424" w:firstLineChars="202"/>
        <w:rPr>
          <w:rFonts w:ascii="宋体" w:eastAsia="宋体"/>
          <w:sz w:val="21"/>
        </w:rPr>
      </w:pPr>
      <w:r>
        <w:rPr>
          <w:rFonts w:hint="eastAsia" w:ascii="宋体" w:eastAsia="宋体"/>
          <w:sz w:val="21"/>
        </w:rPr>
        <w:t>（</w:t>
      </w:r>
      <w:r>
        <w:rPr>
          <w:rFonts w:hint="eastAsia" w:ascii="宋体" w:eastAsia="宋体"/>
          <w:sz w:val="21"/>
          <w:lang w:val="en-US" w:eastAsia="zh-CN"/>
        </w:rPr>
        <w:t>6</w:t>
      </w:r>
      <w:r>
        <w:rPr>
          <w:rFonts w:hint="eastAsia" w:ascii="宋体" w:eastAsia="宋体"/>
          <w:sz w:val="21"/>
        </w:rPr>
        <w:t>）未被列入失信被执行人、重大税收违法案件当事人名单及政府采购严重违法失信行为记录名单（信用中国网</w:t>
      </w:r>
      <w:r>
        <w:rPr>
          <w:rFonts w:hint="eastAsia" w:ascii="宋体" w:eastAsia="宋体"/>
          <w:sz w:val="21"/>
          <w:lang w:eastAsia="zh-CN"/>
        </w:rPr>
        <w:t>“信息公示”</w:t>
      </w:r>
      <w:r>
        <w:rPr>
          <w:rFonts w:hint="eastAsia" w:ascii="宋体" w:eastAsia="宋体"/>
          <w:sz w:val="21"/>
        </w:rPr>
        <w:t>栏的“重大税收违法失信主体”、“失信被执行人”，中国政府采购网“政府采购严重违法失信行为记录名单”，深圳信用网以及深圳市政府采购监管网为供应商信用信息查询渠道，相关信息以开标当日的查询结果为准。由采购代理机构查询，供应商无需提供证明材料）；</w:t>
      </w:r>
    </w:p>
    <w:p w14:paraId="2C294543">
      <w:pPr>
        <w:pStyle w:val="167"/>
        <w:adjustRightInd w:val="0"/>
        <w:snapToGrid w:val="0"/>
        <w:spacing w:before="0" w:beforeAutospacing="0" w:after="0" w:afterAutospacing="0" w:line="360" w:lineRule="exact"/>
        <w:ind w:firstLine="424" w:firstLineChars="202"/>
        <w:rPr>
          <w:rFonts w:ascii="宋体" w:eastAsia="宋体"/>
          <w:snapToGrid w:val="0"/>
          <w:color w:val="auto"/>
          <w:sz w:val="21"/>
        </w:rPr>
      </w:pPr>
      <w:r>
        <w:rPr>
          <w:rFonts w:hint="eastAsia" w:ascii="宋体" w:eastAsia="宋体"/>
          <w:snapToGrid w:val="0"/>
          <w:color w:val="auto"/>
          <w:sz w:val="21"/>
        </w:rPr>
        <w:t>（</w:t>
      </w:r>
      <w:r>
        <w:rPr>
          <w:rFonts w:hint="eastAsia" w:ascii="宋体" w:eastAsia="宋体"/>
          <w:snapToGrid w:val="0"/>
          <w:color w:val="auto"/>
          <w:sz w:val="21"/>
          <w:lang w:val="en-US" w:eastAsia="zh-CN"/>
        </w:rPr>
        <w:t>7</w:t>
      </w:r>
      <w:r>
        <w:rPr>
          <w:rFonts w:hint="eastAsia" w:ascii="宋体" w:eastAsia="宋体"/>
          <w:snapToGrid w:val="0"/>
          <w:color w:val="auto"/>
          <w:sz w:val="21"/>
        </w:rPr>
        <w:t>）本项目不接受联合体投标，不允许非法分包或转包；</w:t>
      </w:r>
    </w:p>
    <w:p w14:paraId="6BA716E3">
      <w:pPr>
        <w:pStyle w:val="167"/>
        <w:adjustRightInd w:val="0"/>
        <w:snapToGrid w:val="0"/>
        <w:spacing w:before="0" w:beforeAutospacing="0" w:after="0" w:afterAutospacing="0" w:line="360" w:lineRule="exact"/>
        <w:ind w:firstLine="424" w:firstLineChars="202"/>
        <w:rPr>
          <w:rFonts w:ascii="宋体" w:eastAsia="宋体"/>
          <w:snapToGrid w:val="0"/>
          <w:color w:val="auto"/>
          <w:sz w:val="21"/>
        </w:rPr>
      </w:pPr>
      <w:r>
        <w:rPr>
          <w:rFonts w:hint="eastAsia" w:ascii="宋体" w:eastAsia="宋体"/>
          <w:snapToGrid w:val="0"/>
          <w:color w:val="auto"/>
          <w:sz w:val="21"/>
        </w:rPr>
        <w:t>（</w:t>
      </w:r>
      <w:r>
        <w:rPr>
          <w:rFonts w:hint="eastAsia" w:ascii="宋体" w:eastAsia="宋体"/>
          <w:snapToGrid w:val="0"/>
          <w:color w:val="auto"/>
          <w:sz w:val="21"/>
          <w:lang w:val="en-US" w:eastAsia="zh-CN"/>
        </w:rPr>
        <w:t>8</w:t>
      </w:r>
      <w:r>
        <w:rPr>
          <w:rFonts w:hint="eastAsia" w:ascii="宋体" w:eastAsia="宋体"/>
          <w:snapToGrid w:val="0"/>
          <w:color w:val="auto"/>
          <w:sz w:val="21"/>
        </w:rPr>
        <w:t>）本项目不接受进口产品投标（进口产品是指通过中国海关报关验放进入中国境内且产自关境外的产品，相关内容以“财库【2007】119号文”和“财办库【2008】248号文”的相关规定为准）。</w:t>
      </w:r>
    </w:p>
    <w:p w14:paraId="410E4FBE">
      <w:pPr>
        <w:pStyle w:val="37"/>
        <w:widowControl/>
        <w:spacing w:line="360" w:lineRule="exact"/>
        <w:rPr>
          <w:rFonts w:ascii="宋体"/>
          <w:sz w:val="21"/>
        </w:rPr>
      </w:pPr>
    </w:p>
    <w:p w14:paraId="2DC8BF8E">
      <w:pPr>
        <w:pStyle w:val="37"/>
        <w:widowControl/>
        <w:spacing w:line="360" w:lineRule="exact"/>
        <w:rPr>
          <w:rFonts w:ascii="宋体"/>
          <w:sz w:val="21"/>
        </w:rPr>
      </w:pPr>
      <w:r>
        <w:rPr>
          <w:rFonts w:ascii="宋体"/>
          <w:sz w:val="21"/>
        </w:rPr>
        <w:t>三、获取招标文件</w:t>
      </w:r>
    </w:p>
    <w:p w14:paraId="02272A66">
      <w:pPr>
        <w:pStyle w:val="37"/>
        <w:widowControl/>
        <w:spacing w:line="360" w:lineRule="exact"/>
        <w:ind w:firstLine="420" w:firstLineChars="200"/>
        <w:rPr>
          <w:rFonts w:ascii="宋体"/>
          <w:sz w:val="21"/>
        </w:rPr>
      </w:pPr>
      <w:r>
        <w:rPr>
          <w:rFonts w:ascii="宋体"/>
          <w:sz w:val="21"/>
        </w:rPr>
        <w:t>时间：</w:t>
      </w:r>
      <w:r>
        <w:rPr>
          <w:rFonts w:hint="eastAsia" w:ascii="宋体"/>
          <w:b/>
          <w:sz w:val="21"/>
          <w:u w:val="single"/>
        </w:rPr>
        <w:t>自本公告发布之日起至</w:t>
      </w:r>
      <w:r>
        <w:rPr>
          <w:rFonts w:hint="eastAsia" w:ascii="宋体"/>
          <w:b/>
          <w:sz w:val="21"/>
          <w:u w:val="single"/>
          <w:lang w:eastAsia="zh-CN"/>
        </w:rPr>
        <w:t>2026</w:t>
      </w:r>
      <w:r>
        <w:rPr>
          <w:rFonts w:hint="eastAsia" w:ascii="宋体"/>
          <w:b/>
          <w:sz w:val="21"/>
          <w:u w:val="single"/>
        </w:rPr>
        <w:t>年**月**日</w:t>
      </w:r>
      <w:r>
        <w:rPr>
          <w:rFonts w:hint="eastAsia" w:ascii="宋体"/>
          <w:sz w:val="21"/>
        </w:rPr>
        <w:t>。</w:t>
      </w:r>
      <w:r>
        <w:rPr>
          <w:rFonts w:ascii="宋体"/>
          <w:sz w:val="21"/>
        </w:rPr>
        <w:t xml:space="preserve"> </w:t>
      </w:r>
    </w:p>
    <w:p w14:paraId="4CBC7DBC">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cs="宋体"/>
          <w:sz w:val="21"/>
          <w:szCs w:val="21"/>
          <w:lang w:eastAsia="zh-CN"/>
        </w:rPr>
      </w:pPr>
      <w:r>
        <w:rPr>
          <w:rFonts w:hint="eastAsia" w:ascii="宋体" w:eastAsia="宋体" w:cs="宋体"/>
          <w:sz w:val="21"/>
          <w:szCs w:val="21"/>
        </w:rPr>
        <w:t>请有意参加该政府采购项目的供应商登录深圳政府采购智慧平台后下载招标(采购)文件</w:t>
      </w:r>
      <w:r>
        <w:rPr>
          <w:rFonts w:hint="eastAsia" w:cs="宋体"/>
          <w:sz w:val="21"/>
          <w:szCs w:val="21"/>
          <w:lang w:eastAsia="zh-CN"/>
        </w:rPr>
        <w:t>。</w:t>
      </w:r>
    </w:p>
    <w:p w14:paraId="4B83B9EF">
      <w:pPr>
        <w:pStyle w:val="37"/>
        <w:widowControl/>
        <w:spacing w:line="360" w:lineRule="exact"/>
        <w:ind w:firstLine="420" w:firstLineChars="200"/>
        <w:rPr>
          <w:rFonts w:ascii="宋体"/>
          <w:sz w:val="21"/>
        </w:rPr>
      </w:pPr>
    </w:p>
    <w:p w14:paraId="43297C9D">
      <w:pPr>
        <w:pStyle w:val="37"/>
        <w:widowControl/>
        <w:spacing w:line="360" w:lineRule="exact"/>
        <w:rPr>
          <w:rFonts w:ascii="宋体"/>
          <w:sz w:val="21"/>
        </w:rPr>
      </w:pPr>
      <w:r>
        <w:rPr>
          <w:rFonts w:ascii="宋体"/>
          <w:sz w:val="21"/>
        </w:rPr>
        <w:t>四、提交投标文件截止时间、开标时间和地点</w:t>
      </w:r>
    </w:p>
    <w:p w14:paraId="2C214507">
      <w:pPr>
        <w:pStyle w:val="37"/>
        <w:widowControl/>
        <w:spacing w:line="360" w:lineRule="exact"/>
        <w:ind w:firstLine="424" w:firstLineChars="202"/>
        <w:rPr>
          <w:rFonts w:ascii="宋体"/>
          <w:sz w:val="21"/>
        </w:rPr>
      </w:pPr>
      <w:r>
        <w:rPr>
          <w:rFonts w:hint="eastAsia" w:ascii="宋体"/>
          <w:sz w:val="21"/>
        </w:rPr>
        <w:t>1</w:t>
      </w:r>
      <w:r>
        <w:rPr>
          <w:rFonts w:hint="eastAsia" w:ascii="宋体"/>
          <w:sz w:val="21"/>
          <w:lang w:val="en-US" w:eastAsia="zh-CN"/>
        </w:rPr>
        <w:t>.</w:t>
      </w:r>
      <w:r>
        <w:rPr>
          <w:rFonts w:hint="eastAsia" w:ascii="宋体"/>
          <w:sz w:val="21"/>
        </w:rPr>
        <w:t>投标截止时间：所有投标文件应于</w:t>
      </w:r>
      <w:r>
        <w:rPr>
          <w:rFonts w:hint="eastAsia" w:ascii="宋体"/>
          <w:b/>
          <w:sz w:val="21"/>
          <w:u w:val="single"/>
          <w:lang w:eastAsia="zh-CN"/>
        </w:rPr>
        <w:t>2026</w:t>
      </w:r>
      <w:r>
        <w:rPr>
          <w:rFonts w:hint="eastAsia" w:ascii="宋体"/>
          <w:b/>
          <w:sz w:val="21"/>
          <w:u w:val="single"/>
        </w:rPr>
        <w:t>年**月**日14:00（北京时间）</w:t>
      </w:r>
      <w:r>
        <w:rPr>
          <w:rFonts w:hint="eastAsia" w:ascii="宋体"/>
          <w:sz w:val="21"/>
        </w:rPr>
        <w:t>之前上传到深圳政府采购智慧平台（http://zfcg.szggzy.com:8081/）。</w:t>
      </w:r>
    </w:p>
    <w:p w14:paraId="2C7D3028">
      <w:pPr>
        <w:pStyle w:val="37"/>
        <w:widowControl/>
        <w:spacing w:line="360" w:lineRule="exact"/>
        <w:ind w:firstLine="424" w:firstLineChars="202"/>
        <w:rPr>
          <w:rFonts w:ascii="宋体"/>
          <w:sz w:val="21"/>
        </w:rPr>
      </w:pPr>
      <w:r>
        <w:rPr>
          <w:rFonts w:hint="eastAsia" w:ascii="宋体"/>
          <w:sz w:val="21"/>
        </w:rPr>
        <w:t>2</w:t>
      </w:r>
      <w:r>
        <w:rPr>
          <w:rFonts w:hint="eastAsia" w:ascii="宋体"/>
          <w:sz w:val="21"/>
          <w:lang w:val="en-US" w:eastAsia="zh-CN"/>
        </w:rPr>
        <w:t>.</w:t>
      </w:r>
      <w:r>
        <w:rPr>
          <w:rFonts w:hint="eastAsia" w:ascii="宋体"/>
          <w:sz w:val="21"/>
        </w:rPr>
        <w:t>开标时间和地点：定于</w:t>
      </w:r>
      <w:r>
        <w:rPr>
          <w:rFonts w:hint="eastAsia" w:ascii="宋体"/>
          <w:b/>
          <w:sz w:val="21"/>
          <w:u w:val="single"/>
          <w:lang w:eastAsia="zh-CN"/>
        </w:rPr>
        <w:t>2026</w:t>
      </w:r>
      <w:r>
        <w:rPr>
          <w:rFonts w:hint="eastAsia" w:ascii="宋体"/>
          <w:b/>
          <w:sz w:val="21"/>
          <w:u w:val="single"/>
        </w:rPr>
        <w:t>年**月**日14:00（北京时间）</w:t>
      </w:r>
      <w:r>
        <w:rPr>
          <w:rFonts w:hint="eastAsia" w:ascii="宋体"/>
          <w:sz w:val="21"/>
        </w:rPr>
        <w:t>，在深圳市中正招标有限公司公开开标。</w:t>
      </w:r>
    </w:p>
    <w:p w14:paraId="22FB4F60">
      <w:pPr>
        <w:pStyle w:val="37"/>
        <w:widowControl/>
        <w:spacing w:line="360" w:lineRule="exact"/>
        <w:ind w:firstLine="426" w:firstLineChars="202"/>
        <w:rPr>
          <w:rFonts w:hint="eastAsia" w:ascii="宋体"/>
          <w:b/>
          <w:sz w:val="21"/>
        </w:rPr>
      </w:pPr>
      <w:r>
        <w:rPr>
          <w:rFonts w:hint="eastAsia" w:ascii="宋体"/>
          <w:b/>
          <w:sz w:val="21"/>
        </w:rPr>
        <w:t>3</w:t>
      </w:r>
      <w:r>
        <w:rPr>
          <w:rFonts w:hint="eastAsia" w:ascii="宋体"/>
          <w:b/>
          <w:sz w:val="21"/>
          <w:lang w:val="en-US" w:eastAsia="zh-CN"/>
        </w:rPr>
        <w:t>.</w:t>
      </w:r>
      <w:r>
        <w:rPr>
          <w:rFonts w:hint="eastAsia" w:ascii="宋体"/>
          <w:b/>
          <w:sz w:val="21"/>
        </w:rPr>
        <w:t>在线解密：投标人须在</w:t>
      </w:r>
      <w:r>
        <w:rPr>
          <w:rFonts w:hint="eastAsia" w:ascii="宋体"/>
          <w:b/>
          <w:sz w:val="21"/>
          <w:u w:val="single"/>
          <w:lang w:eastAsia="zh-CN"/>
        </w:rPr>
        <w:t>2026</w:t>
      </w:r>
      <w:r>
        <w:rPr>
          <w:rFonts w:hint="eastAsia" w:ascii="宋体"/>
          <w:b/>
          <w:sz w:val="21"/>
          <w:u w:val="single"/>
        </w:rPr>
        <w:t>年**月**日14:00-15:00（北京时间）</w:t>
      </w:r>
      <w:r>
        <w:rPr>
          <w:rFonts w:hint="eastAsia" w:ascii="宋体"/>
          <w:b/>
          <w:sz w:val="21"/>
        </w:rPr>
        <w:t>期间进行解密，逾期未解密的作无效处理。</w:t>
      </w:r>
    </w:p>
    <w:p w14:paraId="28F3A208">
      <w:pPr>
        <w:pStyle w:val="37"/>
        <w:widowControl/>
        <w:spacing w:line="360" w:lineRule="exact"/>
        <w:ind w:left="420" w:leftChars="200"/>
        <w:rPr>
          <w:rFonts w:ascii="宋体"/>
          <w:sz w:val="21"/>
        </w:rPr>
      </w:pPr>
    </w:p>
    <w:p w14:paraId="6093FDA5">
      <w:pPr>
        <w:pStyle w:val="37"/>
        <w:widowControl/>
        <w:spacing w:line="360" w:lineRule="exact"/>
        <w:rPr>
          <w:rFonts w:ascii="宋体"/>
          <w:sz w:val="21"/>
        </w:rPr>
      </w:pPr>
      <w:r>
        <w:rPr>
          <w:rFonts w:ascii="宋体"/>
          <w:sz w:val="21"/>
        </w:rPr>
        <w:t>五、公告期限</w:t>
      </w:r>
    </w:p>
    <w:p w14:paraId="608A4141">
      <w:pPr>
        <w:pStyle w:val="37"/>
        <w:widowControl/>
        <w:spacing w:line="360" w:lineRule="exact"/>
        <w:ind w:firstLine="420" w:firstLineChars="200"/>
        <w:rPr>
          <w:rFonts w:ascii="宋体"/>
          <w:sz w:val="21"/>
        </w:rPr>
      </w:pPr>
      <w:r>
        <w:rPr>
          <w:rFonts w:ascii="宋体"/>
          <w:sz w:val="21"/>
        </w:rPr>
        <w:t>自本公告发布之日起5个工作日。</w:t>
      </w:r>
    </w:p>
    <w:p w14:paraId="55A6A713">
      <w:pPr>
        <w:pStyle w:val="37"/>
        <w:widowControl/>
        <w:spacing w:line="360" w:lineRule="exact"/>
        <w:ind w:firstLine="420" w:firstLineChars="200"/>
        <w:rPr>
          <w:rFonts w:ascii="宋体"/>
          <w:sz w:val="21"/>
        </w:rPr>
      </w:pPr>
    </w:p>
    <w:p w14:paraId="691FBE33">
      <w:pPr>
        <w:pStyle w:val="37"/>
        <w:widowControl/>
        <w:spacing w:line="360" w:lineRule="exact"/>
        <w:rPr>
          <w:rFonts w:ascii="宋体"/>
          <w:sz w:val="21"/>
        </w:rPr>
      </w:pPr>
      <w:r>
        <w:rPr>
          <w:rFonts w:ascii="宋体"/>
          <w:sz w:val="21"/>
        </w:rPr>
        <w:t>六、其他补充事宜</w:t>
      </w:r>
    </w:p>
    <w:p w14:paraId="2A7990D9">
      <w:pPr>
        <w:pStyle w:val="37"/>
        <w:spacing w:line="360" w:lineRule="exact"/>
        <w:ind w:firstLine="424" w:firstLineChars="202"/>
        <w:rPr>
          <w:rFonts w:ascii="宋体" w:eastAsia="宋体"/>
          <w:sz w:val="21"/>
        </w:rPr>
      </w:pPr>
      <w:r>
        <w:rPr>
          <w:rFonts w:hint="eastAsia" w:ascii="宋体" w:eastAsia="宋体"/>
          <w:sz w:val="21"/>
        </w:rPr>
        <w:t>1</w:t>
      </w:r>
      <w:r>
        <w:rPr>
          <w:rFonts w:hint="eastAsia" w:ascii="宋体" w:eastAsia="宋体"/>
          <w:sz w:val="21"/>
          <w:lang w:val="en-US" w:eastAsia="zh-CN"/>
        </w:rPr>
        <w:t>.</w:t>
      </w:r>
      <w:r>
        <w:rPr>
          <w:rFonts w:hint="eastAsia" w:ascii="宋体" w:eastAsia="宋体"/>
          <w:sz w:val="21"/>
        </w:rPr>
        <w:t>本项目实行网上投标，采用电子投标文件。</w:t>
      </w:r>
    </w:p>
    <w:p w14:paraId="170363F7">
      <w:pPr>
        <w:pStyle w:val="37"/>
        <w:widowControl/>
        <w:spacing w:line="360" w:lineRule="exact"/>
        <w:ind w:firstLine="424" w:firstLineChars="202"/>
        <w:rPr>
          <w:rFonts w:ascii="宋体"/>
          <w:sz w:val="21"/>
        </w:rPr>
      </w:pPr>
    </w:p>
    <w:p w14:paraId="1F69494C">
      <w:pPr>
        <w:pStyle w:val="37"/>
        <w:widowControl/>
        <w:spacing w:line="360" w:lineRule="exact"/>
        <w:rPr>
          <w:rFonts w:ascii="宋体"/>
          <w:sz w:val="21"/>
        </w:rPr>
      </w:pPr>
      <w:r>
        <w:rPr>
          <w:rFonts w:ascii="宋体"/>
          <w:sz w:val="21"/>
        </w:rPr>
        <w:t>七、对本次招标提出询问，请按以下方式联系。</w:t>
      </w:r>
    </w:p>
    <w:p w14:paraId="5182E6B0">
      <w:pPr>
        <w:pStyle w:val="37"/>
        <w:widowControl/>
        <w:spacing w:line="360" w:lineRule="exact"/>
        <w:ind w:firstLine="424" w:firstLineChars="202"/>
        <w:rPr>
          <w:rFonts w:ascii="宋体"/>
          <w:sz w:val="21"/>
        </w:rPr>
      </w:pPr>
      <w:r>
        <w:rPr>
          <w:rFonts w:hint="eastAsia" w:ascii="宋体"/>
          <w:sz w:val="21"/>
        </w:rPr>
        <w:t>1</w:t>
      </w:r>
      <w:r>
        <w:rPr>
          <w:rFonts w:hint="eastAsia" w:ascii="宋体"/>
          <w:sz w:val="21"/>
          <w:lang w:val="en-US" w:eastAsia="zh-CN"/>
        </w:rPr>
        <w:t>.</w:t>
      </w:r>
      <w:r>
        <w:rPr>
          <w:rFonts w:ascii="宋体"/>
          <w:sz w:val="21"/>
        </w:rPr>
        <w:t xml:space="preserve">采购人信息 </w:t>
      </w:r>
    </w:p>
    <w:p w14:paraId="400A6913">
      <w:pPr>
        <w:pStyle w:val="167"/>
        <w:adjustRightInd w:val="0"/>
        <w:snapToGrid w:val="0"/>
        <w:spacing w:before="0" w:beforeAutospacing="0" w:after="0" w:afterAutospacing="0" w:line="360" w:lineRule="exact"/>
        <w:ind w:left="359" w:leftChars="171" w:firstLine="65" w:firstLineChars="31"/>
        <w:rPr>
          <w:rFonts w:hint="eastAsia" w:ascii="宋体" w:eastAsia="宋体"/>
          <w:snapToGrid w:val="0"/>
          <w:color w:val="auto"/>
          <w:sz w:val="21"/>
          <w:szCs w:val="21"/>
          <w:lang w:eastAsia="zh-CN"/>
        </w:rPr>
      </w:pPr>
      <w:r>
        <w:rPr>
          <w:rFonts w:hint="eastAsia" w:ascii="宋体" w:eastAsia="宋体"/>
          <w:snapToGrid w:val="0"/>
          <w:color w:val="auto"/>
          <w:sz w:val="21"/>
          <w:szCs w:val="21"/>
        </w:rPr>
        <w:t>名称：</w:t>
      </w:r>
      <w:r>
        <w:rPr>
          <w:rFonts w:hint="eastAsia" w:ascii="宋体" w:eastAsia="宋体"/>
          <w:snapToGrid w:val="0"/>
          <w:color w:val="auto"/>
          <w:sz w:val="21"/>
          <w:szCs w:val="21"/>
          <w:lang w:eastAsia="zh-CN"/>
        </w:rPr>
        <w:t>深圳市公安局宝安分局</w:t>
      </w:r>
    </w:p>
    <w:p w14:paraId="301BAF25">
      <w:pPr>
        <w:pStyle w:val="167"/>
        <w:adjustRightInd w:val="0"/>
        <w:snapToGrid w:val="0"/>
        <w:spacing w:before="0" w:beforeAutospacing="0" w:after="0" w:afterAutospacing="0" w:line="360" w:lineRule="exact"/>
        <w:ind w:left="359" w:leftChars="171" w:firstLine="65" w:firstLineChars="31"/>
        <w:rPr>
          <w:rFonts w:ascii="宋体" w:eastAsia="宋体"/>
          <w:snapToGrid w:val="0"/>
          <w:color w:val="auto"/>
          <w:sz w:val="21"/>
          <w:szCs w:val="21"/>
        </w:rPr>
      </w:pPr>
      <w:r>
        <w:rPr>
          <w:rFonts w:hint="eastAsia" w:ascii="宋体" w:eastAsia="宋体"/>
          <w:snapToGrid w:val="0"/>
          <w:color w:val="auto"/>
          <w:sz w:val="21"/>
          <w:szCs w:val="21"/>
        </w:rPr>
        <w:t xml:space="preserve">地址：深圳市宝安区湖滨东路3号 </w:t>
      </w:r>
    </w:p>
    <w:p w14:paraId="29DB6264">
      <w:pPr>
        <w:pStyle w:val="167"/>
        <w:adjustRightInd w:val="0"/>
        <w:snapToGrid w:val="0"/>
        <w:spacing w:before="0" w:beforeAutospacing="0" w:after="0" w:afterAutospacing="0" w:line="360" w:lineRule="exact"/>
        <w:ind w:left="359" w:leftChars="171" w:firstLine="65" w:firstLineChars="31"/>
        <w:rPr>
          <w:rFonts w:ascii="宋体" w:eastAsia="宋体"/>
          <w:snapToGrid w:val="0"/>
          <w:color w:val="auto"/>
          <w:sz w:val="21"/>
          <w:szCs w:val="21"/>
        </w:rPr>
      </w:pPr>
      <w:r>
        <w:rPr>
          <w:rFonts w:hint="eastAsia" w:ascii="宋体" w:eastAsia="宋体"/>
          <w:snapToGrid w:val="0"/>
          <w:color w:val="auto"/>
          <w:sz w:val="21"/>
          <w:szCs w:val="21"/>
        </w:rPr>
        <w:t>联系方式：万警官 0755-84467192</w:t>
      </w:r>
    </w:p>
    <w:p w14:paraId="7790AFD5">
      <w:pPr>
        <w:pStyle w:val="37"/>
        <w:widowControl/>
        <w:spacing w:line="360" w:lineRule="exact"/>
        <w:ind w:firstLine="424" w:firstLineChars="202"/>
        <w:rPr>
          <w:rFonts w:ascii="宋体"/>
          <w:sz w:val="21"/>
        </w:rPr>
      </w:pPr>
      <w:r>
        <w:rPr>
          <w:rFonts w:hint="eastAsia" w:ascii="宋体"/>
          <w:sz w:val="21"/>
        </w:rPr>
        <w:t>2</w:t>
      </w:r>
      <w:r>
        <w:rPr>
          <w:rFonts w:hint="eastAsia" w:ascii="宋体"/>
          <w:sz w:val="21"/>
          <w:lang w:val="en-US" w:eastAsia="zh-CN"/>
        </w:rPr>
        <w:t>.</w:t>
      </w:r>
      <w:r>
        <w:rPr>
          <w:rFonts w:ascii="宋体"/>
          <w:sz w:val="21"/>
        </w:rPr>
        <w:t xml:space="preserve">采购代理机构信息 </w:t>
      </w:r>
    </w:p>
    <w:p w14:paraId="1D69F2E4">
      <w:pPr>
        <w:pStyle w:val="37"/>
        <w:widowControl/>
        <w:spacing w:line="360" w:lineRule="exact"/>
        <w:ind w:firstLine="424" w:firstLineChars="202"/>
        <w:rPr>
          <w:rFonts w:ascii="宋体"/>
          <w:sz w:val="21"/>
        </w:rPr>
      </w:pPr>
      <w:r>
        <w:rPr>
          <w:rFonts w:ascii="宋体"/>
          <w:sz w:val="21"/>
        </w:rPr>
        <w:t xml:space="preserve">名称：深圳市中正招标有限公司 </w:t>
      </w:r>
    </w:p>
    <w:p w14:paraId="29DD11F8">
      <w:pPr>
        <w:pStyle w:val="37"/>
        <w:widowControl/>
        <w:spacing w:line="360" w:lineRule="exact"/>
        <w:ind w:firstLine="424" w:firstLineChars="202"/>
        <w:rPr>
          <w:rFonts w:ascii="宋体"/>
          <w:sz w:val="21"/>
        </w:rPr>
      </w:pPr>
      <w:r>
        <w:rPr>
          <w:rFonts w:ascii="宋体"/>
          <w:sz w:val="21"/>
        </w:rPr>
        <w:t>地址：深圳市福田区</w:t>
      </w:r>
      <w:r>
        <w:rPr>
          <w:rFonts w:hint="eastAsia" w:ascii="宋体"/>
          <w:sz w:val="21"/>
        </w:rPr>
        <w:t>民田路171号新华保险大厦903</w:t>
      </w:r>
    </w:p>
    <w:p w14:paraId="677E5812">
      <w:pPr>
        <w:pStyle w:val="37"/>
        <w:widowControl/>
        <w:spacing w:line="360" w:lineRule="exact"/>
        <w:ind w:firstLine="424" w:firstLineChars="202"/>
        <w:rPr>
          <w:rFonts w:ascii="宋体"/>
          <w:sz w:val="21"/>
        </w:rPr>
      </w:pPr>
      <w:r>
        <w:rPr>
          <w:rFonts w:ascii="宋体"/>
          <w:sz w:val="21"/>
        </w:rPr>
        <w:t>联系方式：0755-83026699</w:t>
      </w:r>
    </w:p>
    <w:p w14:paraId="6FD6CC8F">
      <w:pPr>
        <w:pStyle w:val="37"/>
        <w:widowControl/>
        <w:spacing w:line="360" w:lineRule="exact"/>
        <w:ind w:firstLine="424" w:firstLineChars="202"/>
        <w:rPr>
          <w:rFonts w:ascii="宋体"/>
          <w:sz w:val="21"/>
        </w:rPr>
      </w:pPr>
      <w:r>
        <w:rPr>
          <w:rFonts w:hint="eastAsia" w:ascii="宋体"/>
          <w:sz w:val="21"/>
        </w:rPr>
        <w:t>3</w:t>
      </w:r>
      <w:r>
        <w:rPr>
          <w:rFonts w:hint="eastAsia" w:ascii="宋体"/>
          <w:sz w:val="21"/>
          <w:lang w:val="en-US" w:eastAsia="zh-CN"/>
        </w:rPr>
        <w:t>.</w:t>
      </w:r>
      <w:r>
        <w:rPr>
          <w:rFonts w:ascii="宋体"/>
          <w:sz w:val="21"/>
        </w:rPr>
        <w:t xml:space="preserve">项目联系方式 </w:t>
      </w:r>
    </w:p>
    <w:p w14:paraId="55EF6D71">
      <w:pPr>
        <w:pStyle w:val="37"/>
        <w:widowControl/>
        <w:spacing w:line="360" w:lineRule="exact"/>
        <w:ind w:firstLine="424" w:firstLineChars="202"/>
        <w:rPr>
          <w:rFonts w:ascii="宋体"/>
          <w:sz w:val="21"/>
        </w:rPr>
      </w:pPr>
      <w:r>
        <w:rPr>
          <w:rFonts w:ascii="宋体"/>
          <w:sz w:val="21"/>
        </w:rPr>
        <w:t>项目联系人：</w:t>
      </w:r>
      <w:r>
        <w:rPr>
          <w:rFonts w:hint="eastAsia" w:ascii="宋体"/>
          <w:sz w:val="21"/>
          <w:lang w:val="en-US" w:eastAsia="zh-CN"/>
        </w:rPr>
        <w:t>党工、陈工</w:t>
      </w:r>
      <w:r>
        <w:rPr>
          <w:rFonts w:ascii="宋体"/>
          <w:sz w:val="21"/>
        </w:rPr>
        <w:t xml:space="preserve"> </w:t>
      </w:r>
    </w:p>
    <w:p w14:paraId="1917A6FA">
      <w:pPr>
        <w:pStyle w:val="37"/>
        <w:widowControl/>
        <w:spacing w:line="360" w:lineRule="exact"/>
        <w:ind w:firstLine="424" w:firstLineChars="202"/>
        <w:rPr>
          <w:rFonts w:ascii="宋体"/>
          <w:sz w:val="21"/>
        </w:rPr>
      </w:pPr>
      <w:r>
        <w:rPr>
          <w:rFonts w:ascii="宋体"/>
          <w:sz w:val="21"/>
        </w:rPr>
        <w:t>电话：</w:t>
      </w:r>
      <w:r>
        <w:rPr>
          <w:rFonts w:hint="eastAsia" w:ascii="宋体"/>
          <w:sz w:val="21"/>
        </w:rPr>
        <w:t>0755-83026699</w:t>
      </w:r>
    </w:p>
    <w:p w14:paraId="530B91C9">
      <w:pPr>
        <w:pStyle w:val="37"/>
        <w:widowControl/>
        <w:spacing w:line="360" w:lineRule="exact"/>
        <w:ind w:firstLine="424" w:firstLineChars="202"/>
        <w:rPr>
          <w:rFonts w:ascii="宋体"/>
          <w:sz w:val="21"/>
        </w:rPr>
      </w:pPr>
    </w:p>
    <w:p w14:paraId="01333D2F">
      <w:pPr>
        <w:pStyle w:val="37"/>
        <w:widowControl/>
        <w:spacing w:line="360" w:lineRule="exact"/>
        <w:ind w:firstLine="424" w:firstLineChars="202"/>
        <w:rPr>
          <w:rFonts w:ascii="宋体"/>
          <w:sz w:val="21"/>
        </w:rPr>
      </w:pPr>
    </w:p>
    <w:p w14:paraId="1544F936">
      <w:pPr>
        <w:spacing w:line="400" w:lineRule="exact"/>
        <w:jc w:val="center"/>
        <w:rPr>
          <w:rFonts w:hint="eastAsia" w:ascii="宋体" w:eastAsia="宋体" w:cs="宋体"/>
          <w:sz w:val="24"/>
          <w:szCs w:val="24"/>
        </w:rPr>
      </w:pPr>
      <w:r>
        <w:rPr>
          <w:rFonts w:hint="eastAsia" w:ascii="宋体" w:eastAsia="宋体" w:cs="宋体"/>
          <w:b/>
          <w:sz w:val="24"/>
          <w:szCs w:val="24"/>
        </w:rPr>
        <w:t>完整公告内容详见：深圳公共资源交易网（https://www.szggzy.com）</w:t>
      </w:r>
    </w:p>
    <w:p w14:paraId="22496360">
      <w:pPr>
        <w:widowControl/>
        <w:jc w:val="left"/>
        <w:rPr>
          <w:rFonts w:ascii="宋体"/>
          <w:b/>
          <w:bCs/>
          <w:kern w:val="0"/>
          <w:sz w:val="24"/>
          <w:szCs w:val="20"/>
        </w:rPr>
      </w:pPr>
      <w:r>
        <w:br w:type="page"/>
      </w:r>
    </w:p>
    <w:p w14:paraId="4985B3E7">
      <w:pPr>
        <w:pStyle w:val="5"/>
        <w:rPr>
          <w:b/>
          <w:bCs/>
        </w:rPr>
      </w:pPr>
      <w:r>
        <w:rPr>
          <w:rFonts w:hint="eastAsia"/>
          <w:b/>
          <w:bCs/>
        </w:rPr>
        <w:t>第二章  招标项目需求</w:t>
      </w:r>
    </w:p>
    <w:p w14:paraId="66655534">
      <w:pPr>
        <w:pStyle w:val="5"/>
        <w:spacing w:before="120" w:beforeLines="50" w:after="120" w:afterLines="50"/>
        <w:rPr>
          <w:b/>
          <w:bCs/>
          <w:sz w:val="28"/>
          <w:szCs w:val="28"/>
        </w:rPr>
      </w:pPr>
      <w:bookmarkStart w:id="17" w:name="_Toc60560625"/>
      <w:bookmarkStart w:id="18" w:name="_Toc101074876"/>
      <w:bookmarkStart w:id="19" w:name="_Toc73521635"/>
      <w:bookmarkStart w:id="20" w:name="_Toc73518117"/>
      <w:bookmarkStart w:id="21" w:name="_Toc100052364"/>
      <w:bookmarkStart w:id="22" w:name="_Toc60631620"/>
      <w:bookmarkStart w:id="23" w:name="_Toc73517639"/>
      <w:bookmarkStart w:id="24" w:name="_Toc73521547"/>
      <w:r>
        <w:rPr>
          <w:rFonts w:hint="eastAsia"/>
          <w:b/>
          <w:bCs/>
          <w:sz w:val="28"/>
          <w:szCs w:val="28"/>
        </w:rPr>
        <w:t>一、对通用条款的补充内容</w:t>
      </w:r>
    </w:p>
    <w:bookmarkEnd w:id="17"/>
    <w:bookmarkEnd w:id="18"/>
    <w:bookmarkEnd w:id="19"/>
    <w:bookmarkEnd w:id="20"/>
    <w:bookmarkEnd w:id="21"/>
    <w:bookmarkEnd w:id="22"/>
    <w:bookmarkEnd w:id="23"/>
    <w:bookmarkEnd w:id="24"/>
    <w:tbl>
      <w:tblPr>
        <w:tblStyle w:val="42"/>
        <w:tblW w:w="8367"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7"/>
        <w:gridCol w:w="2160"/>
        <w:gridCol w:w="5400"/>
      </w:tblGrid>
      <w:tr w14:paraId="0DDA16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2D5AE18B">
            <w:pPr>
              <w:jc w:val="center"/>
              <w:rPr>
                <w:rFonts w:ascii="宋体"/>
                <w:b/>
                <w:bCs/>
              </w:rPr>
            </w:pPr>
            <w:r>
              <w:rPr>
                <w:rFonts w:hint="eastAsia" w:ascii="宋体"/>
                <w:b/>
                <w:bCs/>
              </w:rPr>
              <w:t>序号</w:t>
            </w:r>
          </w:p>
        </w:tc>
        <w:tc>
          <w:tcPr>
            <w:tcW w:w="2160" w:type="dxa"/>
            <w:vAlign w:val="center"/>
          </w:tcPr>
          <w:p w14:paraId="6B1EF35C">
            <w:pPr>
              <w:jc w:val="center"/>
              <w:rPr>
                <w:rFonts w:ascii="宋体"/>
                <w:b/>
                <w:bCs/>
              </w:rPr>
            </w:pPr>
            <w:r>
              <w:rPr>
                <w:rFonts w:hint="eastAsia" w:ascii="宋体"/>
                <w:b/>
                <w:bCs/>
              </w:rPr>
              <w:t>内   容</w:t>
            </w:r>
          </w:p>
        </w:tc>
        <w:tc>
          <w:tcPr>
            <w:tcW w:w="5400" w:type="dxa"/>
            <w:vAlign w:val="center"/>
          </w:tcPr>
          <w:p w14:paraId="167F2316">
            <w:pPr>
              <w:jc w:val="center"/>
              <w:rPr>
                <w:rFonts w:ascii="宋体"/>
                <w:b/>
                <w:bCs/>
              </w:rPr>
            </w:pPr>
            <w:r>
              <w:rPr>
                <w:rFonts w:hint="eastAsia" w:ascii="宋体"/>
                <w:b/>
                <w:bCs/>
              </w:rPr>
              <w:t>规      定</w:t>
            </w:r>
          </w:p>
        </w:tc>
      </w:tr>
      <w:tr w14:paraId="49250C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36" w:hRule="atLeast"/>
          <w:jc w:val="center"/>
        </w:trPr>
        <w:tc>
          <w:tcPr>
            <w:tcW w:w="807" w:type="dxa"/>
            <w:vAlign w:val="center"/>
          </w:tcPr>
          <w:p w14:paraId="627AEC6D">
            <w:pPr>
              <w:jc w:val="center"/>
              <w:rPr>
                <w:rFonts w:ascii="宋体"/>
              </w:rPr>
            </w:pPr>
            <w:r>
              <w:rPr>
                <w:rFonts w:hint="eastAsia" w:ascii="宋体"/>
              </w:rPr>
              <w:t>1</w:t>
            </w:r>
          </w:p>
        </w:tc>
        <w:tc>
          <w:tcPr>
            <w:tcW w:w="2160" w:type="dxa"/>
            <w:vAlign w:val="center"/>
          </w:tcPr>
          <w:p w14:paraId="08A33CC9">
            <w:pPr>
              <w:jc w:val="center"/>
            </w:pPr>
            <w:r>
              <w:rPr>
                <w:rFonts w:hint="eastAsia"/>
              </w:rPr>
              <w:t>联合体投标</w:t>
            </w:r>
          </w:p>
        </w:tc>
        <w:tc>
          <w:tcPr>
            <w:tcW w:w="5400" w:type="dxa"/>
            <w:vAlign w:val="center"/>
          </w:tcPr>
          <w:p w14:paraId="0EA3861A">
            <w:pPr>
              <w:rPr>
                <w:rFonts w:ascii="宋体"/>
                <w:snapToGrid w:val="0"/>
                <w:kern w:val="0"/>
                <w:szCs w:val="32"/>
                <w:lang w:val="zh-CN"/>
              </w:rPr>
            </w:pPr>
            <w:r>
              <w:rPr>
                <w:rFonts w:hint="eastAsia" w:ascii="宋体"/>
                <w:snapToGrid w:val="0"/>
                <w:kern w:val="0"/>
                <w:szCs w:val="32"/>
                <w:lang w:val="zh-CN"/>
              </w:rPr>
              <w:t>见《招标公告》中“项目基本情况”部分的相关内容</w:t>
            </w:r>
          </w:p>
        </w:tc>
      </w:tr>
      <w:tr w14:paraId="441B4C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36" w:hRule="atLeast"/>
          <w:jc w:val="center"/>
        </w:trPr>
        <w:tc>
          <w:tcPr>
            <w:tcW w:w="807" w:type="dxa"/>
            <w:vAlign w:val="center"/>
          </w:tcPr>
          <w:p w14:paraId="7E7C28D9">
            <w:pPr>
              <w:jc w:val="center"/>
              <w:rPr>
                <w:rFonts w:ascii="宋体"/>
              </w:rPr>
            </w:pPr>
            <w:r>
              <w:rPr>
                <w:rFonts w:hint="eastAsia" w:ascii="宋体"/>
              </w:rPr>
              <w:t>2</w:t>
            </w:r>
          </w:p>
        </w:tc>
        <w:tc>
          <w:tcPr>
            <w:tcW w:w="2160" w:type="dxa"/>
            <w:vAlign w:val="center"/>
          </w:tcPr>
          <w:p w14:paraId="4E9D3E7F">
            <w:pPr>
              <w:jc w:val="center"/>
              <w:rPr>
                <w:rFonts w:ascii="宋体"/>
              </w:rPr>
            </w:pPr>
            <w:r>
              <w:rPr>
                <w:rFonts w:hint="eastAsia" w:ascii="宋体"/>
              </w:rPr>
              <w:t>投标有效期</w:t>
            </w:r>
          </w:p>
        </w:tc>
        <w:tc>
          <w:tcPr>
            <w:tcW w:w="5400" w:type="dxa"/>
            <w:vAlign w:val="center"/>
          </w:tcPr>
          <w:p w14:paraId="28A1D612">
            <w:pPr>
              <w:rPr>
                <w:rFonts w:ascii="宋体"/>
              </w:rPr>
            </w:pPr>
            <w:r>
              <w:rPr>
                <w:rFonts w:hint="eastAsia" w:ascii="宋体"/>
                <w:u w:val="single"/>
              </w:rPr>
              <w:t>90</w:t>
            </w:r>
            <w:r>
              <w:rPr>
                <w:rFonts w:ascii="宋体"/>
                <w:u w:val="single"/>
              </w:rPr>
              <w:t>日历天</w:t>
            </w:r>
            <w:r>
              <w:rPr>
                <w:rFonts w:ascii="宋体"/>
              </w:rPr>
              <w:t>（从投标截止之日算起）</w:t>
            </w:r>
          </w:p>
        </w:tc>
      </w:tr>
      <w:tr w14:paraId="3B069B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36" w:hRule="atLeast"/>
          <w:jc w:val="center"/>
        </w:trPr>
        <w:tc>
          <w:tcPr>
            <w:tcW w:w="807" w:type="dxa"/>
            <w:vAlign w:val="center"/>
          </w:tcPr>
          <w:p w14:paraId="4CFD217D">
            <w:pPr>
              <w:jc w:val="center"/>
              <w:rPr>
                <w:rFonts w:ascii="宋体"/>
              </w:rPr>
            </w:pPr>
            <w:r>
              <w:rPr>
                <w:rFonts w:hint="eastAsia" w:ascii="宋体"/>
              </w:rPr>
              <w:t>3</w:t>
            </w:r>
          </w:p>
        </w:tc>
        <w:tc>
          <w:tcPr>
            <w:tcW w:w="2160" w:type="dxa"/>
            <w:vAlign w:val="center"/>
          </w:tcPr>
          <w:p w14:paraId="48B4CE3D">
            <w:pPr>
              <w:jc w:val="center"/>
              <w:rPr>
                <w:rFonts w:ascii="宋体"/>
              </w:rPr>
            </w:pPr>
            <w:r>
              <w:rPr>
                <w:rFonts w:hint="eastAsia" w:ascii="宋体"/>
              </w:rPr>
              <w:t>投标人的替代方案</w:t>
            </w:r>
          </w:p>
        </w:tc>
        <w:tc>
          <w:tcPr>
            <w:tcW w:w="5400" w:type="dxa"/>
            <w:vAlign w:val="center"/>
          </w:tcPr>
          <w:p w14:paraId="6DFFA204">
            <w:pPr>
              <w:rPr>
                <w:rFonts w:ascii="宋体"/>
              </w:rPr>
            </w:pPr>
            <w:r>
              <w:rPr>
                <w:rFonts w:hint="eastAsia" w:ascii="宋体"/>
              </w:rPr>
              <w:t>不允许</w:t>
            </w:r>
          </w:p>
        </w:tc>
      </w:tr>
      <w:tr w14:paraId="1556D9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761" w:hRule="atLeast"/>
          <w:jc w:val="center"/>
        </w:trPr>
        <w:tc>
          <w:tcPr>
            <w:tcW w:w="807" w:type="dxa"/>
            <w:vAlign w:val="center"/>
          </w:tcPr>
          <w:p w14:paraId="2E387BBE">
            <w:pPr>
              <w:jc w:val="center"/>
              <w:rPr>
                <w:rFonts w:hint="eastAsia" w:ascii="宋体" w:eastAsia="宋体"/>
                <w:lang w:eastAsia="zh-CN"/>
              </w:rPr>
            </w:pPr>
            <w:r>
              <w:rPr>
                <w:rFonts w:hint="eastAsia" w:ascii="宋体"/>
                <w:lang w:val="en-US" w:eastAsia="zh-CN"/>
              </w:rPr>
              <w:t>4</w:t>
            </w:r>
          </w:p>
        </w:tc>
        <w:tc>
          <w:tcPr>
            <w:tcW w:w="2160" w:type="dxa"/>
            <w:vAlign w:val="center"/>
          </w:tcPr>
          <w:p w14:paraId="0ADE5E2B">
            <w:pPr>
              <w:jc w:val="center"/>
              <w:rPr>
                <w:rFonts w:hint="eastAsia" w:ascii="宋体" w:eastAsia="宋体"/>
                <w:lang w:eastAsia="zh-CN"/>
              </w:rPr>
            </w:pPr>
            <w:r>
              <w:rPr>
                <w:rFonts w:hint="eastAsia" w:ascii="宋体"/>
                <w:lang w:eastAsia="zh-CN"/>
              </w:rPr>
              <w:t>代理服务费</w:t>
            </w:r>
          </w:p>
        </w:tc>
        <w:tc>
          <w:tcPr>
            <w:tcW w:w="5400" w:type="dxa"/>
            <w:vAlign w:val="center"/>
          </w:tcPr>
          <w:p w14:paraId="2084F685">
            <w:pPr>
              <w:spacing w:line="360" w:lineRule="exact"/>
              <w:rPr>
                <w:rFonts w:ascii="宋体" w:eastAsia="宋体"/>
                <w:szCs w:val="21"/>
              </w:rPr>
            </w:pPr>
            <w:r>
              <w:rPr>
                <w:rFonts w:hint="eastAsia" w:ascii="宋体" w:eastAsia="宋体"/>
                <w:szCs w:val="21"/>
              </w:rPr>
              <w:t>按深财购[2018]27号文件规定的代理费用参考标准，向中标供应商收取</w:t>
            </w:r>
            <w:r>
              <w:rPr>
                <w:rFonts w:hint="eastAsia" w:ascii="宋体" w:eastAsia="宋体"/>
                <w:szCs w:val="21"/>
                <w:lang w:eastAsia="zh-CN"/>
              </w:rPr>
              <w:t>代理服务费</w:t>
            </w:r>
            <w:r>
              <w:rPr>
                <w:rFonts w:hint="eastAsia" w:ascii="宋体" w:eastAsia="宋体"/>
                <w:szCs w:val="21"/>
              </w:rPr>
              <w:t>，具体如下：</w:t>
            </w:r>
          </w:p>
          <w:p w14:paraId="2AD415AD">
            <w:pPr>
              <w:spacing w:line="360" w:lineRule="exact"/>
              <w:rPr>
                <w:rFonts w:ascii="宋体" w:eastAsia="宋体"/>
                <w:szCs w:val="20"/>
              </w:rPr>
            </w:pPr>
            <w:r>
              <w:rPr>
                <w:rFonts w:hint="eastAsia" w:ascii="宋体" w:hAnsi="宋体" w:eastAsia="MS Mincho" w:cs="MS Mincho"/>
                <w:sz w:val="24"/>
              </w:rPr>
              <w:t>☑</w:t>
            </w:r>
            <w:r>
              <w:rPr>
                <w:rFonts w:hint="eastAsia" w:ascii="宋体" w:eastAsia="宋体"/>
                <w:szCs w:val="21"/>
              </w:rPr>
              <w:t>以中标金额作为计算依据</w:t>
            </w:r>
            <w:r>
              <w:rPr>
                <w:rFonts w:hint="eastAsia" w:ascii="宋体" w:eastAsia="宋体"/>
                <w:szCs w:val="20"/>
              </w:rPr>
              <w:t>，费用下浮</w:t>
            </w:r>
            <w:r>
              <w:rPr>
                <w:rFonts w:hint="eastAsia" w:ascii="宋体" w:eastAsia="宋体"/>
                <w:szCs w:val="20"/>
                <w:u w:val="single"/>
              </w:rPr>
              <w:t xml:space="preserve">  0  </w:t>
            </w:r>
            <w:r>
              <w:rPr>
                <w:rFonts w:hint="eastAsia" w:ascii="宋体" w:eastAsia="宋体"/>
                <w:szCs w:val="20"/>
              </w:rPr>
              <w:t>%，最低收取人民币</w:t>
            </w:r>
            <w:r>
              <w:rPr>
                <w:rFonts w:hint="eastAsia" w:ascii="宋体" w:eastAsia="宋体"/>
                <w:szCs w:val="20"/>
                <w:lang w:val="en-US" w:eastAsia="zh-CN"/>
              </w:rPr>
              <w:t>5</w:t>
            </w:r>
            <w:r>
              <w:rPr>
                <w:rFonts w:hint="eastAsia" w:ascii="宋体" w:eastAsia="宋体"/>
                <w:szCs w:val="20"/>
              </w:rPr>
              <w:t>000元。</w:t>
            </w:r>
          </w:p>
          <w:p w14:paraId="57FAE889">
            <w:pPr>
              <w:spacing w:line="360" w:lineRule="exact"/>
              <w:rPr>
                <w:rFonts w:ascii="宋体"/>
              </w:rPr>
            </w:pPr>
            <w:r>
              <w:rPr>
                <w:rFonts w:hint="eastAsia"/>
              </w:rPr>
              <w:t>□</w:t>
            </w:r>
            <w:r>
              <w:rPr>
                <w:rFonts w:hint="eastAsia" w:ascii="宋体" w:eastAsia="宋体"/>
                <w:szCs w:val="21"/>
              </w:rPr>
              <w:t>以预算金额（支付上限）作为计算依据</w:t>
            </w:r>
            <w:r>
              <w:rPr>
                <w:rFonts w:hint="eastAsia" w:ascii="宋体" w:eastAsia="宋体"/>
              </w:rPr>
              <w:t>，费用下浮</w:t>
            </w:r>
            <w:r>
              <w:rPr>
                <w:rFonts w:hint="eastAsia" w:ascii="宋体" w:eastAsia="宋体"/>
                <w:u w:val="single"/>
              </w:rPr>
              <w:t xml:space="preserve">  0  </w:t>
            </w:r>
            <w:r>
              <w:rPr>
                <w:rFonts w:hint="eastAsia" w:ascii="宋体" w:eastAsia="宋体"/>
              </w:rPr>
              <w:t>%，收取</w:t>
            </w:r>
            <w:r>
              <w:rPr>
                <w:rFonts w:hint="eastAsia" w:ascii="宋体" w:eastAsia="宋体"/>
                <w:lang w:eastAsia="zh-CN"/>
              </w:rPr>
              <w:t>代理服务费</w:t>
            </w:r>
            <w:r>
              <w:rPr>
                <w:rFonts w:hint="eastAsia" w:ascii="宋体" w:eastAsia="宋体"/>
              </w:rPr>
              <w:t>：人民币</w:t>
            </w:r>
            <w:r>
              <w:rPr>
                <w:rFonts w:hint="eastAsia" w:ascii="宋体" w:eastAsia="宋体"/>
                <w:u w:val="single"/>
              </w:rPr>
              <w:t xml:space="preserve">        </w:t>
            </w:r>
            <w:r>
              <w:rPr>
                <w:rFonts w:hint="eastAsia" w:ascii="宋体" w:eastAsia="宋体"/>
              </w:rPr>
              <w:t>元。</w:t>
            </w:r>
          </w:p>
        </w:tc>
      </w:tr>
      <w:tr w14:paraId="195327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135" w:hRule="atLeast"/>
          <w:jc w:val="center"/>
        </w:trPr>
        <w:tc>
          <w:tcPr>
            <w:tcW w:w="807" w:type="dxa"/>
            <w:vAlign w:val="center"/>
          </w:tcPr>
          <w:p w14:paraId="4E03940D">
            <w:pPr>
              <w:jc w:val="center"/>
              <w:rPr>
                <w:rFonts w:hint="eastAsia" w:ascii="宋体" w:eastAsia="宋体"/>
                <w:lang w:eastAsia="zh-CN"/>
              </w:rPr>
            </w:pPr>
            <w:r>
              <w:rPr>
                <w:rFonts w:hint="eastAsia" w:ascii="宋体"/>
                <w:lang w:val="en-US" w:eastAsia="zh-CN"/>
              </w:rPr>
              <w:t>5</w:t>
            </w:r>
          </w:p>
        </w:tc>
        <w:tc>
          <w:tcPr>
            <w:tcW w:w="2160" w:type="dxa"/>
            <w:vAlign w:val="center"/>
          </w:tcPr>
          <w:p w14:paraId="1C02C033">
            <w:pPr>
              <w:jc w:val="center"/>
              <w:rPr>
                <w:rFonts w:ascii="宋体"/>
              </w:rPr>
            </w:pPr>
            <w:r>
              <w:rPr>
                <w:rFonts w:hint="eastAsia" w:ascii="宋体"/>
              </w:rPr>
              <w:t>履约保证金</w:t>
            </w:r>
          </w:p>
        </w:tc>
        <w:tc>
          <w:tcPr>
            <w:tcW w:w="5400" w:type="dxa"/>
            <w:vAlign w:val="center"/>
          </w:tcPr>
          <w:p w14:paraId="51A2864F">
            <w:pPr>
              <w:spacing w:line="360" w:lineRule="exact"/>
              <w:rPr>
                <w:rFonts w:ascii="宋体"/>
              </w:rPr>
            </w:pPr>
            <w:r>
              <w:rPr>
                <w:rFonts w:hint="eastAsia" w:ascii="宋体" w:cs="MS Mincho"/>
                <w:sz w:val="24"/>
                <w:lang w:eastAsia="zh-CN"/>
              </w:rPr>
              <w:t>☑</w:t>
            </w:r>
            <w:r>
              <w:rPr>
                <w:rFonts w:hint="eastAsia" w:ascii="宋体"/>
              </w:rPr>
              <w:t>本项目不收取履约保证金。</w:t>
            </w:r>
          </w:p>
          <w:p w14:paraId="5A74D67D">
            <w:pPr>
              <w:spacing w:line="360" w:lineRule="exact"/>
              <w:rPr>
                <w:rFonts w:ascii="宋体" w:hAnsi="宋体"/>
                <w:szCs w:val="24"/>
              </w:rPr>
            </w:pPr>
            <w:r>
              <w:rPr>
                <w:rFonts w:hint="eastAsia" w:ascii="Times New Roman" w:hAnsi="宋体"/>
                <w:szCs w:val="24"/>
              </w:rPr>
              <w:t>□</w:t>
            </w:r>
            <w:r>
              <w:rPr>
                <w:rFonts w:hint="eastAsia" w:ascii="宋体" w:hAnsi="宋体"/>
                <w:szCs w:val="24"/>
              </w:rPr>
              <w:t>本项目收取履约保证金数额为合同金额的</w:t>
            </w:r>
            <w:r>
              <w:rPr>
                <w:rFonts w:hint="eastAsia" w:ascii="宋体" w:hAnsi="宋体"/>
                <w:szCs w:val="24"/>
                <w:u w:val="single"/>
              </w:rPr>
              <w:t xml:space="preserve">  </w:t>
            </w:r>
            <w:r>
              <w:rPr>
                <w:rFonts w:hint="eastAsia" w:ascii="宋体" w:hAnsi="宋体"/>
                <w:szCs w:val="24"/>
              </w:rPr>
              <w:t>%（不超过10%）。</w:t>
            </w:r>
          </w:p>
          <w:p w14:paraId="20BC5F63">
            <w:pPr>
              <w:spacing w:line="360" w:lineRule="exact"/>
              <w:rPr>
                <w:rFonts w:ascii="宋体" w:hAnsi="宋体"/>
                <w:szCs w:val="24"/>
              </w:rPr>
            </w:pPr>
            <w:r>
              <w:rPr>
                <w:rFonts w:hint="eastAsia" w:ascii="宋体" w:hAnsi="宋体"/>
                <w:szCs w:val="24"/>
              </w:rPr>
              <w:t>根据《深圳市财政局关于进一步优化政府采购营商环境的通知》（深财购〔2021〕31号），政府采购原则上不收取履约保证金；确需收取履约保证金的，应当允许供应商自主选择以支票、汇票、本票、保函等非现金形式缴纳或提交。收取履约保证金的，应当在采购文件中明确履约保证金退还的方式、时间、条件和不予退还的情形，并明确逾期退还履约保证金的违约责任。</w:t>
            </w:r>
          </w:p>
          <w:p w14:paraId="0D1DFD84">
            <w:pPr>
              <w:spacing w:line="360" w:lineRule="exact"/>
              <w:rPr>
                <w:rFonts w:hint="eastAsia" w:eastAsia="宋体"/>
                <w:lang w:eastAsia="zh-CN"/>
              </w:rPr>
            </w:pPr>
            <w:r>
              <w:rPr>
                <w:rFonts w:hint="eastAsia" w:ascii="宋体" w:hAnsi="宋体"/>
                <w:szCs w:val="24"/>
              </w:rPr>
              <w:t>如中标供应商为</w:t>
            </w:r>
            <w:r>
              <w:rPr>
                <w:rFonts w:hint="eastAsia" w:ascii="宋体" w:cs="宋体" w:hAnsiTheme="minorHAnsi"/>
                <w:kern w:val="0"/>
                <w:szCs w:val="21"/>
              </w:rPr>
              <w:t>中小微企业，则收取的履约保证金的数额不得超过政府采购合同金额的</w:t>
            </w:r>
            <w:r>
              <w:rPr>
                <w:rFonts w:ascii="宋体" w:cs="宋体" w:hAnsiTheme="minorHAnsi"/>
                <w:kern w:val="0"/>
                <w:szCs w:val="21"/>
              </w:rPr>
              <w:t>5%</w:t>
            </w:r>
            <w:r>
              <w:rPr>
                <w:rFonts w:hint="eastAsia" w:ascii="宋体" w:cs="宋体" w:hAnsiTheme="minorHAnsi"/>
                <w:kern w:val="0"/>
                <w:szCs w:val="21"/>
              </w:rPr>
              <w:t>。</w:t>
            </w:r>
          </w:p>
        </w:tc>
      </w:tr>
    </w:tbl>
    <w:p w14:paraId="07C621A2">
      <w:pPr>
        <w:spacing w:before="120" w:beforeLines="50"/>
        <w:rPr>
          <w:b/>
        </w:rPr>
      </w:pPr>
      <w:r>
        <w:rPr>
          <w:rFonts w:hint="eastAsia"/>
          <w:szCs w:val="21"/>
        </w:rPr>
        <w:t>备注：本表为通用条款相关内容的补充和明确，如与通用条款相冲突的以本表为准。</w:t>
      </w:r>
    </w:p>
    <w:p w14:paraId="4C4A7C8C">
      <w:pPr>
        <w:rPr>
          <w:b/>
        </w:rPr>
      </w:pPr>
    </w:p>
    <w:p w14:paraId="2A70C349">
      <w:pPr>
        <w:pStyle w:val="5"/>
        <w:spacing w:before="120" w:beforeLines="50" w:after="120" w:afterLines="50"/>
        <w:rPr>
          <w:b/>
          <w:bCs/>
          <w:sz w:val="28"/>
          <w:szCs w:val="28"/>
        </w:rPr>
      </w:pPr>
      <w:r>
        <w:rPr>
          <w:rFonts w:hint="eastAsia"/>
          <w:b/>
          <w:bCs/>
          <w:sz w:val="28"/>
          <w:szCs w:val="28"/>
        </w:rPr>
        <w:t>二、货物清单</w:t>
      </w:r>
    </w:p>
    <w:p w14:paraId="22E598AA">
      <w:pPr>
        <w:rPr>
          <w:rFonts w:ascii="宋体"/>
          <w:b/>
          <w:szCs w:val="21"/>
        </w:rPr>
      </w:pPr>
      <w:r>
        <w:rPr>
          <w:rFonts w:hint="eastAsia" w:ascii="宋体"/>
          <w:b/>
          <w:szCs w:val="21"/>
        </w:rPr>
        <w:t>（一）货物总清单</w:t>
      </w:r>
    </w:p>
    <w:tbl>
      <w:tblPr>
        <w:tblStyle w:val="42"/>
        <w:tblpPr w:leftFromText="180" w:rightFromText="180" w:vertAnchor="text" w:horzAnchor="margin" w:tblpXSpec="center" w:tblpY="173"/>
        <w:tblW w:w="92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896"/>
        <w:gridCol w:w="850"/>
        <w:gridCol w:w="851"/>
        <w:gridCol w:w="1134"/>
        <w:gridCol w:w="1701"/>
      </w:tblGrid>
      <w:tr w14:paraId="2FDEB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17" w:type="dxa"/>
            <w:vAlign w:val="center"/>
          </w:tcPr>
          <w:p w14:paraId="2B40A5E1">
            <w:pPr>
              <w:spacing w:line="360" w:lineRule="auto"/>
              <w:jc w:val="center"/>
              <w:rPr>
                <w:rFonts w:ascii="宋体" w:eastAsia="宋体"/>
                <w:bCs/>
                <w:szCs w:val="21"/>
              </w:rPr>
            </w:pPr>
            <w:r>
              <w:rPr>
                <w:rFonts w:hint="eastAsia" w:ascii="宋体" w:eastAsia="宋体"/>
                <w:bCs/>
                <w:szCs w:val="21"/>
              </w:rPr>
              <w:t>序号</w:t>
            </w:r>
          </w:p>
        </w:tc>
        <w:tc>
          <w:tcPr>
            <w:tcW w:w="3896" w:type="dxa"/>
            <w:vAlign w:val="center"/>
          </w:tcPr>
          <w:p w14:paraId="43CAFD0D">
            <w:pPr>
              <w:spacing w:line="360" w:lineRule="auto"/>
              <w:jc w:val="center"/>
              <w:rPr>
                <w:rFonts w:ascii="宋体" w:eastAsia="宋体"/>
                <w:bCs/>
                <w:szCs w:val="21"/>
              </w:rPr>
            </w:pPr>
            <w:r>
              <w:rPr>
                <w:rFonts w:hint="eastAsia" w:ascii="宋体" w:eastAsia="宋体"/>
                <w:bCs/>
                <w:szCs w:val="21"/>
              </w:rPr>
              <w:t>项目名称</w:t>
            </w:r>
          </w:p>
        </w:tc>
        <w:tc>
          <w:tcPr>
            <w:tcW w:w="850" w:type="dxa"/>
            <w:vAlign w:val="center"/>
          </w:tcPr>
          <w:p w14:paraId="03306AE3">
            <w:pPr>
              <w:spacing w:line="360" w:lineRule="auto"/>
              <w:jc w:val="center"/>
              <w:rPr>
                <w:rFonts w:ascii="宋体" w:eastAsia="宋体"/>
                <w:bCs/>
                <w:szCs w:val="21"/>
              </w:rPr>
            </w:pPr>
            <w:r>
              <w:rPr>
                <w:rFonts w:hint="eastAsia" w:ascii="宋体" w:eastAsia="宋体"/>
                <w:bCs/>
                <w:szCs w:val="21"/>
              </w:rPr>
              <w:t>数量</w:t>
            </w:r>
          </w:p>
        </w:tc>
        <w:tc>
          <w:tcPr>
            <w:tcW w:w="851" w:type="dxa"/>
            <w:vAlign w:val="center"/>
          </w:tcPr>
          <w:p w14:paraId="087D1E0C">
            <w:pPr>
              <w:spacing w:line="360" w:lineRule="auto"/>
              <w:jc w:val="center"/>
              <w:rPr>
                <w:rFonts w:ascii="宋体" w:eastAsia="宋体"/>
                <w:bCs/>
                <w:szCs w:val="21"/>
              </w:rPr>
            </w:pPr>
            <w:r>
              <w:rPr>
                <w:rFonts w:hint="eastAsia" w:ascii="宋体" w:eastAsia="宋体"/>
                <w:bCs/>
                <w:szCs w:val="21"/>
              </w:rPr>
              <w:t>单位</w:t>
            </w:r>
          </w:p>
        </w:tc>
        <w:tc>
          <w:tcPr>
            <w:tcW w:w="1134" w:type="dxa"/>
            <w:vAlign w:val="center"/>
          </w:tcPr>
          <w:p w14:paraId="4AD69D5A">
            <w:pPr>
              <w:spacing w:line="360" w:lineRule="auto"/>
              <w:jc w:val="center"/>
              <w:rPr>
                <w:rFonts w:ascii="宋体" w:eastAsia="宋体"/>
                <w:bCs/>
                <w:szCs w:val="21"/>
              </w:rPr>
            </w:pPr>
            <w:r>
              <w:rPr>
                <w:rFonts w:hint="eastAsia" w:ascii="宋体" w:eastAsia="宋体"/>
                <w:bCs/>
                <w:szCs w:val="21"/>
              </w:rPr>
              <w:t>备注</w:t>
            </w:r>
          </w:p>
        </w:tc>
        <w:tc>
          <w:tcPr>
            <w:tcW w:w="1701" w:type="dxa"/>
            <w:vAlign w:val="center"/>
          </w:tcPr>
          <w:p w14:paraId="7AA0DF0C">
            <w:pPr>
              <w:spacing w:line="360" w:lineRule="auto"/>
              <w:jc w:val="center"/>
              <w:rPr>
                <w:rFonts w:ascii="宋体" w:eastAsia="宋体"/>
                <w:b/>
                <w:bCs/>
                <w:szCs w:val="21"/>
              </w:rPr>
            </w:pPr>
            <w:r>
              <w:rPr>
                <w:rFonts w:hint="eastAsia" w:ascii="宋体" w:eastAsia="宋体"/>
                <w:b/>
                <w:bCs/>
                <w:szCs w:val="21"/>
              </w:rPr>
              <w:t>采购预算金额（</w:t>
            </w:r>
            <w:r>
              <w:rPr>
                <w:rFonts w:hint="eastAsia" w:ascii="宋体" w:cs="宋体"/>
                <w:b/>
                <w:szCs w:val="21"/>
              </w:rPr>
              <w:t>人民币</w:t>
            </w:r>
            <w:r>
              <w:rPr>
                <w:rFonts w:hint="eastAsia" w:ascii="宋体" w:eastAsia="宋体"/>
                <w:b/>
                <w:bCs/>
                <w:szCs w:val="21"/>
              </w:rPr>
              <w:t>元）</w:t>
            </w:r>
          </w:p>
        </w:tc>
      </w:tr>
      <w:tr w14:paraId="11CC5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17" w:type="dxa"/>
            <w:vAlign w:val="center"/>
          </w:tcPr>
          <w:p w14:paraId="32946778">
            <w:pPr>
              <w:spacing w:line="360" w:lineRule="auto"/>
              <w:jc w:val="center"/>
              <w:rPr>
                <w:rFonts w:ascii="宋体" w:eastAsia="宋体"/>
                <w:bCs/>
                <w:szCs w:val="21"/>
              </w:rPr>
            </w:pPr>
            <w:r>
              <w:rPr>
                <w:rFonts w:hint="eastAsia" w:ascii="宋体" w:eastAsia="宋体"/>
                <w:bCs/>
                <w:szCs w:val="21"/>
              </w:rPr>
              <w:t>1</w:t>
            </w:r>
          </w:p>
        </w:tc>
        <w:tc>
          <w:tcPr>
            <w:tcW w:w="3896" w:type="dxa"/>
            <w:vAlign w:val="center"/>
          </w:tcPr>
          <w:p w14:paraId="77F3501E">
            <w:pPr>
              <w:spacing w:line="360" w:lineRule="auto"/>
              <w:jc w:val="center"/>
              <w:rPr>
                <w:rFonts w:hint="eastAsia" w:ascii="宋体" w:eastAsia="宋体"/>
                <w:bCs/>
                <w:szCs w:val="21"/>
                <w:lang w:eastAsia="zh-CN"/>
              </w:rPr>
            </w:pPr>
            <w:r>
              <w:rPr>
                <w:rFonts w:hint="eastAsia" w:ascii="宋体"/>
                <w:szCs w:val="21"/>
                <w:lang w:eastAsia="zh-CN"/>
              </w:rPr>
              <w:t>深圳市公安局宝安分局海防查缉防控高速摩托艇采购项目</w:t>
            </w:r>
          </w:p>
        </w:tc>
        <w:tc>
          <w:tcPr>
            <w:tcW w:w="850" w:type="dxa"/>
            <w:vAlign w:val="center"/>
          </w:tcPr>
          <w:p w14:paraId="28998E82">
            <w:pPr>
              <w:spacing w:line="360" w:lineRule="auto"/>
              <w:jc w:val="center"/>
              <w:rPr>
                <w:rFonts w:ascii="宋体" w:eastAsia="宋体"/>
                <w:bCs/>
                <w:szCs w:val="21"/>
              </w:rPr>
            </w:pPr>
            <w:r>
              <w:rPr>
                <w:rFonts w:hint="eastAsia" w:ascii="宋体" w:eastAsia="宋体"/>
                <w:bCs/>
                <w:szCs w:val="21"/>
              </w:rPr>
              <w:t>1</w:t>
            </w:r>
          </w:p>
        </w:tc>
        <w:tc>
          <w:tcPr>
            <w:tcW w:w="851" w:type="dxa"/>
            <w:vAlign w:val="center"/>
          </w:tcPr>
          <w:p w14:paraId="053543A1">
            <w:pPr>
              <w:spacing w:line="360" w:lineRule="auto"/>
              <w:jc w:val="center"/>
              <w:rPr>
                <w:rFonts w:ascii="宋体" w:eastAsia="宋体"/>
                <w:bCs/>
                <w:szCs w:val="21"/>
              </w:rPr>
            </w:pPr>
            <w:r>
              <w:rPr>
                <w:rFonts w:hint="eastAsia" w:ascii="宋体" w:eastAsia="宋体"/>
                <w:bCs/>
                <w:szCs w:val="21"/>
              </w:rPr>
              <w:t>批</w:t>
            </w:r>
          </w:p>
        </w:tc>
        <w:tc>
          <w:tcPr>
            <w:tcW w:w="1134" w:type="dxa"/>
            <w:vAlign w:val="center"/>
          </w:tcPr>
          <w:p w14:paraId="5E0C65FC">
            <w:pPr>
              <w:spacing w:line="360" w:lineRule="auto"/>
              <w:jc w:val="center"/>
              <w:rPr>
                <w:rFonts w:ascii="宋体" w:eastAsia="宋体"/>
                <w:b/>
                <w:bCs/>
                <w:szCs w:val="21"/>
              </w:rPr>
            </w:pPr>
            <w:r>
              <w:rPr>
                <w:rFonts w:hint="eastAsia" w:ascii="宋体"/>
                <w:szCs w:val="21"/>
              </w:rPr>
              <w:t>拒绝进口</w:t>
            </w:r>
          </w:p>
        </w:tc>
        <w:tc>
          <w:tcPr>
            <w:tcW w:w="1701" w:type="dxa"/>
            <w:vAlign w:val="center"/>
          </w:tcPr>
          <w:p w14:paraId="2F3793C2">
            <w:pPr>
              <w:spacing w:line="360" w:lineRule="auto"/>
              <w:jc w:val="center"/>
              <w:rPr>
                <w:rFonts w:hint="eastAsia" w:ascii="宋体" w:eastAsia="宋体"/>
                <w:bCs/>
                <w:szCs w:val="21"/>
                <w:lang w:val="en-US" w:eastAsia="zh-CN"/>
              </w:rPr>
            </w:pPr>
            <w:r>
              <w:rPr>
                <w:rFonts w:hint="eastAsia" w:ascii="宋体" w:eastAsia="宋体"/>
                <w:bCs/>
                <w:szCs w:val="21"/>
                <w:lang w:val="en-US" w:eastAsia="zh-CN"/>
              </w:rPr>
              <w:t>10,500,000.00</w:t>
            </w:r>
          </w:p>
        </w:tc>
      </w:tr>
    </w:tbl>
    <w:p w14:paraId="1083F0FC">
      <w:pPr>
        <w:spacing w:line="360" w:lineRule="auto"/>
        <w:rPr>
          <w:rFonts w:ascii="宋体"/>
          <w:b/>
          <w:szCs w:val="21"/>
        </w:rPr>
      </w:pPr>
      <w:r>
        <w:rPr>
          <w:rFonts w:hint="eastAsia" w:ascii="宋体"/>
          <w:b/>
          <w:szCs w:val="21"/>
        </w:rPr>
        <w:t>（二）货物清单明细</w:t>
      </w:r>
    </w:p>
    <w:tbl>
      <w:tblPr>
        <w:tblStyle w:val="42"/>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3212"/>
        <w:gridCol w:w="952"/>
        <w:gridCol w:w="953"/>
        <w:gridCol w:w="1979"/>
        <w:gridCol w:w="1276"/>
      </w:tblGrid>
      <w:tr w14:paraId="5A5E7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771" w:type="dxa"/>
            <w:vAlign w:val="center"/>
          </w:tcPr>
          <w:p w14:paraId="35E6152C">
            <w:pPr>
              <w:spacing w:line="360" w:lineRule="auto"/>
              <w:jc w:val="center"/>
              <w:rPr>
                <w:rFonts w:ascii="宋体" w:eastAsia="宋体"/>
                <w:b/>
                <w:bCs/>
                <w:szCs w:val="21"/>
              </w:rPr>
            </w:pPr>
            <w:r>
              <w:rPr>
                <w:rFonts w:hint="eastAsia" w:ascii="宋体" w:eastAsia="宋体"/>
                <w:b/>
                <w:bCs/>
                <w:szCs w:val="21"/>
              </w:rPr>
              <w:t>序号</w:t>
            </w:r>
          </w:p>
        </w:tc>
        <w:tc>
          <w:tcPr>
            <w:tcW w:w="3212" w:type="dxa"/>
            <w:vAlign w:val="center"/>
          </w:tcPr>
          <w:p w14:paraId="0CB65CFA">
            <w:pPr>
              <w:spacing w:line="360" w:lineRule="auto"/>
              <w:jc w:val="center"/>
              <w:rPr>
                <w:rFonts w:ascii="宋体" w:eastAsia="宋体"/>
                <w:b/>
                <w:bCs/>
                <w:color w:val="FF0000"/>
                <w:szCs w:val="21"/>
              </w:rPr>
            </w:pPr>
            <w:r>
              <w:rPr>
                <w:rFonts w:hint="eastAsia" w:ascii="宋体" w:eastAsia="宋体"/>
                <w:b/>
                <w:bCs/>
                <w:color w:val="FF0000"/>
                <w:szCs w:val="21"/>
              </w:rPr>
              <w:t>标的名称</w:t>
            </w:r>
          </w:p>
        </w:tc>
        <w:tc>
          <w:tcPr>
            <w:tcW w:w="952" w:type="dxa"/>
            <w:vAlign w:val="center"/>
          </w:tcPr>
          <w:p w14:paraId="4250FA35">
            <w:pPr>
              <w:spacing w:line="360" w:lineRule="auto"/>
              <w:jc w:val="center"/>
              <w:rPr>
                <w:rFonts w:ascii="宋体" w:eastAsia="宋体"/>
                <w:b/>
                <w:bCs/>
                <w:szCs w:val="21"/>
              </w:rPr>
            </w:pPr>
            <w:r>
              <w:rPr>
                <w:rFonts w:hint="eastAsia" w:ascii="宋体" w:eastAsia="宋体"/>
                <w:b/>
                <w:bCs/>
                <w:szCs w:val="21"/>
              </w:rPr>
              <w:t>数量</w:t>
            </w:r>
          </w:p>
        </w:tc>
        <w:tc>
          <w:tcPr>
            <w:tcW w:w="953" w:type="dxa"/>
            <w:vAlign w:val="center"/>
          </w:tcPr>
          <w:p w14:paraId="18C19B59">
            <w:pPr>
              <w:spacing w:line="360" w:lineRule="auto"/>
              <w:jc w:val="center"/>
              <w:rPr>
                <w:rFonts w:ascii="宋体" w:eastAsia="宋体"/>
                <w:b/>
                <w:bCs/>
                <w:szCs w:val="21"/>
              </w:rPr>
            </w:pPr>
            <w:r>
              <w:rPr>
                <w:rFonts w:hint="eastAsia" w:ascii="宋体" w:eastAsia="宋体"/>
                <w:b/>
                <w:bCs/>
                <w:szCs w:val="21"/>
              </w:rPr>
              <w:t>单位</w:t>
            </w:r>
          </w:p>
        </w:tc>
        <w:tc>
          <w:tcPr>
            <w:tcW w:w="1979" w:type="dxa"/>
            <w:vAlign w:val="center"/>
          </w:tcPr>
          <w:p w14:paraId="726F03A5">
            <w:pPr>
              <w:widowControl/>
              <w:spacing w:line="360" w:lineRule="auto"/>
              <w:jc w:val="center"/>
              <w:rPr>
                <w:rFonts w:ascii="宋体" w:cs="宋体"/>
                <w:b/>
                <w:kern w:val="0"/>
                <w:szCs w:val="21"/>
              </w:rPr>
            </w:pPr>
            <w:r>
              <w:rPr>
                <w:rFonts w:hint="eastAsia" w:ascii="宋体" w:cs="宋体"/>
                <w:b/>
                <w:kern w:val="0"/>
                <w:szCs w:val="21"/>
              </w:rPr>
              <w:t>预算金额</w:t>
            </w:r>
          </w:p>
          <w:p w14:paraId="6FA62B1A">
            <w:pPr>
              <w:spacing w:line="360" w:lineRule="auto"/>
              <w:jc w:val="center"/>
              <w:rPr>
                <w:rFonts w:ascii="宋体" w:eastAsia="宋体"/>
                <w:b/>
                <w:bCs/>
                <w:szCs w:val="21"/>
              </w:rPr>
            </w:pPr>
            <w:r>
              <w:rPr>
                <w:rFonts w:hint="eastAsia" w:ascii="宋体" w:cs="宋体"/>
                <w:b/>
                <w:szCs w:val="21"/>
              </w:rPr>
              <w:t>（人民币</w:t>
            </w:r>
            <w:r>
              <w:rPr>
                <w:rFonts w:hint="eastAsia" w:ascii="宋体" w:cs="宋体"/>
                <w:b/>
                <w:szCs w:val="21"/>
                <w:lang w:val="en-US" w:eastAsia="zh-CN"/>
              </w:rPr>
              <w:t xml:space="preserve"> </w:t>
            </w:r>
            <w:r>
              <w:rPr>
                <w:rFonts w:hint="eastAsia" w:ascii="宋体" w:cs="宋体"/>
                <w:b/>
                <w:szCs w:val="21"/>
              </w:rPr>
              <w:t>元）</w:t>
            </w:r>
          </w:p>
        </w:tc>
        <w:tc>
          <w:tcPr>
            <w:tcW w:w="1276" w:type="dxa"/>
            <w:vAlign w:val="center"/>
          </w:tcPr>
          <w:p w14:paraId="0761FA78">
            <w:pPr>
              <w:spacing w:line="360" w:lineRule="auto"/>
              <w:jc w:val="center"/>
              <w:rPr>
                <w:rFonts w:ascii="宋体" w:eastAsia="宋体"/>
                <w:b/>
                <w:bCs/>
                <w:szCs w:val="21"/>
              </w:rPr>
            </w:pPr>
            <w:r>
              <w:rPr>
                <w:rFonts w:hint="eastAsia" w:ascii="宋体" w:eastAsia="宋体"/>
                <w:b/>
                <w:bCs/>
                <w:szCs w:val="21"/>
              </w:rPr>
              <w:t>备注</w:t>
            </w:r>
          </w:p>
        </w:tc>
      </w:tr>
      <w:tr w14:paraId="64EBF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771" w:type="dxa"/>
            <w:vAlign w:val="center"/>
          </w:tcPr>
          <w:p w14:paraId="7ACAB4F4">
            <w:pPr>
              <w:spacing w:line="360" w:lineRule="auto"/>
              <w:jc w:val="center"/>
              <w:rPr>
                <w:rFonts w:ascii="宋体" w:eastAsia="宋体"/>
                <w:bCs/>
                <w:szCs w:val="21"/>
              </w:rPr>
            </w:pPr>
            <w:r>
              <w:rPr>
                <w:rFonts w:hint="eastAsia" w:ascii="宋体" w:eastAsia="宋体"/>
                <w:bCs/>
                <w:szCs w:val="21"/>
              </w:rPr>
              <w:t>1</w:t>
            </w:r>
          </w:p>
        </w:tc>
        <w:tc>
          <w:tcPr>
            <w:tcW w:w="3212" w:type="dxa"/>
            <w:vAlign w:val="center"/>
          </w:tcPr>
          <w:p w14:paraId="59008EEE">
            <w:pPr>
              <w:spacing w:line="360" w:lineRule="auto"/>
              <w:jc w:val="center"/>
              <w:rPr>
                <w:rFonts w:hint="eastAsia" w:ascii="宋体"/>
                <w:szCs w:val="21"/>
                <w:lang w:eastAsia="zh-CN"/>
              </w:rPr>
            </w:pPr>
            <w:r>
              <w:rPr>
                <w:rFonts w:hint="eastAsia" w:ascii="宋体"/>
                <w:szCs w:val="21"/>
                <w:lang w:eastAsia="zh-CN"/>
              </w:rPr>
              <w:t>公务艇（12米半蓬敞开艇）</w:t>
            </w:r>
          </w:p>
        </w:tc>
        <w:tc>
          <w:tcPr>
            <w:tcW w:w="952" w:type="dxa"/>
            <w:vAlign w:val="center"/>
          </w:tcPr>
          <w:p w14:paraId="18405A3A">
            <w:pPr>
              <w:spacing w:line="360" w:lineRule="auto"/>
              <w:jc w:val="center"/>
              <w:rPr>
                <w:rFonts w:hint="eastAsia" w:ascii="宋体"/>
                <w:szCs w:val="21"/>
                <w:lang w:val="en-US" w:eastAsia="zh-CN"/>
              </w:rPr>
            </w:pPr>
            <w:r>
              <w:rPr>
                <w:rFonts w:hint="eastAsia" w:ascii="宋体"/>
                <w:szCs w:val="21"/>
                <w:lang w:eastAsia="zh-CN"/>
              </w:rPr>
              <w:t>1</w:t>
            </w:r>
          </w:p>
        </w:tc>
        <w:tc>
          <w:tcPr>
            <w:tcW w:w="953" w:type="dxa"/>
            <w:vAlign w:val="center"/>
          </w:tcPr>
          <w:p w14:paraId="2B1E983D">
            <w:pPr>
              <w:spacing w:line="360" w:lineRule="auto"/>
              <w:jc w:val="center"/>
              <w:rPr>
                <w:rFonts w:hint="eastAsia" w:ascii="宋体"/>
                <w:szCs w:val="21"/>
                <w:lang w:eastAsia="zh-CN"/>
              </w:rPr>
            </w:pPr>
            <w:r>
              <w:rPr>
                <w:rFonts w:hint="eastAsia" w:ascii="宋体"/>
                <w:szCs w:val="21"/>
                <w:lang w:eastAsia="zh-CN"/>
              </w:rPr>
              <w:t>艘</w:t>
            </w:r>
          </w:p>
        </w:tc>
        <w:tc>
          <w:tcPr>
            <w:tcW w:w="1979" w:type="dxa"/>
            <w:vAlign w:val="center"/>
          </w:tcPr>
          <w:p w14:paraId="1082730B">
            <w:pPr>
              <w:spacing w:line="360" w:lineRule="auto"/>
              <w:jc w:val="center"/>
              <w:rPr>
                <w:rFonts w:hint="eastAsia" w:ascii="宋体"/>
                <w:szCs w:val="21"/>
                <w:lang w:eastAsia="zh-CN"/>
              </w:rPr>
            </w:pPr>
            <w:r>
              <w:rPr>
                <w:rFonts w:hint="eastAsia" w:ascii="宋体"/>
                <w:szCs w:val="21"/>
                <w:lang w:eastAsia="zh-CN"/>
              </w:rPr>
              <w:t>2,500,000.00</w:t>
            </w:r>
          </w:p>
        </w:tc>
        <w:tc>
          <w:tcPr>
            <w:tcW w:w="1276" w:type="dxa"/>
            <w:vAlign w:val="center"/>
          </w:tcPr>
          <w:p w14:paraId="702D0073">
            <w:pPr>
              <w:spacing w:line="360" w:lineRule="auto"/>
              <w:jc w:val="center"/>
              <w:rPr>
                <w:rFonts w:ascii="宋体" w:eastAsia="宋体"/>
                <w:bCs/>
                <w:szCs w:val="21"/>
              </w:rPr>
            </w:pPr>
            <w:r>
              <w:rPr>
                <w:rFonts w:hint="eastAsia" w:ascii="宋体"/>
                <w:szCs w:val="21"/>
              </w:rPr>
              <w:t>拒绝进口</w:t>
            </w:r>
          </w:p>
        </w:tc>
      </w:tr>
      <w:tr w14:paraId="74A9D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4B7D9772">
            <w:pPr>
              <w:spacing w:line="360" w:lineRule="auto"/>
              <w:jc w:val="center"/>
              <w:rPr>
                <w:rFonts w:ascii="宋体" w:eastAsia="宋体"/>
                <w:bCs/>
                <w:szCs w:val="21"/>
              </w:rPr>
            </w:pPr>
            <w:r>
              <w:rPr>
                <w:rFonts w:hint="eastAsia" w:ascii="宋体" w:eastAsia="宋体"/>
                <w:bCs/>
                <w:szCs w:val="21"/>
              </w:rPr>
              <w:t>2</w:t>
            </w:r>
          </w:p>
        </w:tc>
        <w:tc>
          <w:tcPr>
            <w:tcW w:w="3212" w:type="dxa"/>
            <w:vAlign w:val="center"/>
          </w:tcPr>
          <w:p w14:paraId="57894DD5">
            <w:pPr>
              <w:spacing w:line="360" w:lineRule="auto"/>
              <w:jc w:val="center"/>
              <w:rPr>
                <w:rFonts w:hint="eastAsia" w:ascii="宋体"/>
                <w:szCs w:val="21"/>
                <w:lang w:eastAsia="zh-CN"/>
              </w:rPr>
            </w:pPr>
            <w:r>
              <w:rPr>
                <w:rFonts w:hint="eastAsia" w:ascii="宋体"/>
                <w:szCs w:val="21"/>
                <w:lang w:eastAsia="zh-CN"/>
              </w:rPr>
              <w:t>公务艇（12米带遮阳蓬的敞开艇）</w:t>
            </w:r>
          </w:p>
        </w:tc>
        <w:tc>
          <w:tcPr>
            <w:tcW w:w="952" w:type="dxa"/>
            <w:vAlign w:val="center"/>
          </w:tcPr>
          <w:p w14:paraId="369EB225">
            <w:pPr>
              <w:spacing w:line="360" w:lineRule="auto"/>
              <w:jc w:val="center"/>
              <w:rPr>
                <w:rFonts w:hint="eastAsia" w:ascii="宋体"/>
                <w:szCs w:val="21"/>
                <w:lang w:eastAsia="zh-CN"/>
              </w:rPr>
            </w:pPr>
            <w:r>
              <w:rPr>
                <w:rFonts w:hint="eastAsia" w:ascii="宋体"/>
                <w:szCs w:val="21"/>
                <w:lang w:eastAsia="zh-CN"/>
              </w:rPr>
              <w:t>2</w:t>
            </w:r>
          </w:p>
        </w:tc>
        <w:tc>
          <w:tcPr>
            <w:tcW w:w="953" w:type="dxa"/>
            <w:vAlign w:val="center"/>
          </w:tcPr>
          <w:p w14:paraId="6AAD457A">
            <w:pPr>
              <w:spacing w:line="360" w:lineRule="auto"/>
              <w:jc w:val="center"/>
              <w:rPr>
                <w:rFonts w:hint="eastAsia" w:ascii="宋体"/>
                <w:szCs w:val="21"/>
                <w:lang w:eastAsia="zh-CN"/>
              </w:rPr>
            </w:pPr>
            <w:r>
              <w:rPr>
                <w:rFonts w:hint="eastAsia" w:ascii="宋体"/>
                <w:szCs w:val="21"/>
                <w:lang w:eastAsia="zh-CN"/>
              </w:rPr>
              <w:t>艘</w:t>
            </w:r>
          </w:p>
        </w:tc>
        <w:tc>
          <w:tcPr>
            <w:tcW w:w="1979" w:type="dxa"/>
            <w:vAlign w:val="center"/>
          </w:tcPr>
          <w:p w14:paraId="5BB82214">
            <w:pPr>
              <w:spacing w:line="360" w:lineRule="auto"/>
              <w:jc w:val="center"/>
              <w:rPr>
                <w:rFonts w:hint="eastAsia" w:ascii="宋体"/>
                <w:szCs w:val="21"/>
                <w:lang w:eastAsia="zh-CN"/>
              </w:rPr>
            </w:pPr>
            <w:r>
              <w:rPr>
                <w:rFonts w:hint="eastAsia" w:ascii="宋体"/>
                <w:szCs w:val="21"/>
                <w:lang w:eastAsia="zh-CN"/>
              </w:rPr>
              <w:t>5,000,000.00</w:t>
            </w:r>
          </w:p>
        </w:tc>
        <w:tc>
          <w:tcPr>
            <w:tcW w:w="1276" w:type="dxa"/>
            <w:vAlign w:val="center"/>
          </w:tcPr>
          <w:p w14:paraId="702E39F7">
            <w:pPr>
              <w:spacing w:line="360" w:lineRule="auto"/>
              <w:jc w:val="center"/>
              <w:rPr>
                <w:rFonts w:ascii="宋体" w:eastAsia="宋体"/>
                <w:bCs/>
                <w:szCs w:val="21"/>
              </w:rPr>
            </w:pPr>
            <w:r>
              <w:rPr>
                <w:rFonts w:hint="eastAsia" w:ascii="宋体"/>
                <w:szCs w:val="21"/>
              </w:rPr>
              <w:t>拒绝进口</w:t>
            </w:r>
          </w:p>
        </w:tc>
      </w:tr>
      <w:tr w14:paraId="757C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69176906">
            <w:pPr>
              <w:spacing w:line="360" w:lineRule="auto"/>
              <w:jc w:val="center"/>
              <w:rPr>
                <w:rFonts w:ascii="宋体" w:eastAsia="宋体"/>
                <w:bCs/>
                <w:szCs w:val="21"/>
              </w:rPr>
            </w:pPr>
            <w:r>
              <w:rPr>
                <w:rFonts w:hint="eastAsia" w:ascii="宋体" w:eastAsia="宋体"/>
                <w:bCs/>
                <w:szCs w:val="21"/>
              </w:rPr>
              <w:t>3</w:t>
            </w:r>
          </w:p>
        </w:tc>
        <w:tc>
          <w:tcPr>
            <w:tcW w:w="3212" w:type="dxa"/>
            <w:vAlign w:val="center"/>
          </w:tcPr>
          <w:p w14:paraId="317D7B7B">
            <w:pPr>
              <w:spacing w:line="360" w:lineRule="auto"/>
              <w:jc w:val="center"/>
              <w:rPr>
                <w:rFonts w:hint="eastAsia" w:ascii="宋体"/>
                <w:szCs w:val="21"/>
                <w:lang w:eastAsia="zh-CN"/>
              </w:rPr>
            </w:pPr>
            <w:r>
              <w:rPr>
                <w:rFonts w:hint="eastAsia" w:ascii="宋体"/>
                <w:szCs w:val="21"/>
                <w:lang w:eastAsia="zh-CN"/>
              </w:rPr>
              <w:t>公务艇（10米半蓬敞开艇）</w:t>
            </w:r>
          </w:p>
        </w:tc>
        <w:tc>
          <w:tcPr>
            <w:tcW w:w="952" w:type="dxa"/>
            <w:vAlign w:val="center"/>
          </w:tcPr>
          <w:p w14:paraId="6AAAB080">
            <w:pPr>
              <w:spacing w:line="360" w:lineRule="auto"/>
              <w:jc w:val="center"/>
              <w:rPr>
                <w:rFonts w:hint="eastAsia" w:ascii="宋体"/>
                <w:szCs w:val="21"/>
                <w:lang w:eastAsia="zh-CN"/>
              </w:rPr>
            </w:pPr>
            <w:r>
              <w:rPr>
                <w:rFonts w:hint="eastAsia" w:ascii="宋体"/>
                <w:szCs w:val="21"/>
                <w:lang w:eastAsia="zh-CN"/>
              </w:rPr>
              <w:t>1</w:t>
            </w:r>
          </w:p>
        </w:tc>
        <w:tc>
          <w:tcPr>
            <w:tcW w:w="953" w:type="dxa"/>
            <w:vAlign w:val="center"/>
          </w:tcPr>
          <w:p w14:paraId="6D4D09F6">
            <w:pPr>
              <w:spacing w:line="360" w:lineRule="auto"/>
              <w:jc w:val="center"/>
              <w:rPr>
                <w:rFonts w:hint="eastAsia" w:ascii="宋体"/>
                <w:szCs w:val="21"/>
                <w:lang w:eastAsia="zh-CN"/>
              </w:rPr>
            </w:pPr>
            <w:r>
              <w:rPr>
                <w:rFonts w:hint="eastAsia" w:ascii="宋体"/>
                <w:szCs w:val="21"/>
                <w:lang w:eastAsia="zh-CN"/>
              </w:rPr>
              <w:t>艘</w:t>
            </w:r>
          </w:p>
        </w:tc>
        <w:tc>
          <w:tcPr>
            <w:tcW w:w="1979" w:type="dxa"/>
            <w:vAlign w:val="center"/>
          </w:tcPr>
          <w:p w14:paraId="0994E873">
            <w:pPr>
              <w:spacing w:line="360" w:lineRule="auto"/>
              <w:jc w:val="center"/>
              <w:rPr>
                <w:rFonts w:hint="eastAsia" w:ascii="宋体"/>
                <w:szCs w:val="21"/>
                <w:lang w:eastAsia="zh-CN"/>
              </w:rPr>
            </w:pPr>
            <w:r>
              <w:rPr>
                <w:rFonts w:hint="eastAsia" w:ascii="宋体"/>
                <w:szCs w:val="21"/>
                <w:lang w:eastAsia="zh-CN"/>
              </w:rPr>
              <w:t>1,500,000.00</w:t>
            </w:r>
          </w:p>
        </w:tc>
        <w:tc>
          <w:tcPr>
            <w:tcW w:w="1276" w:type="dxa"/>
            <w:vAlign w:val="center"/>
          </w:tcPr>
          <w:p w14:paraId="288FB392">
            <w:pPr>
              <w:spacing w:line="360" w:lineRule="auto"/>
              <w:jc w:val="center"/>
              <w:rPr>
                <w:rFonts w:ascii="宋体" w:eastAsia="宋体"/>
                <w:bCs/>
                <w:szCs w:val="21"/>
              </w:rPr>
            </w:pPr>
            <w:r>
              <w:rPr>
                <w:rFonts w:hint="eastAsia" w:ascii="宋体"/>
                <w:szCs w:val="21"/>
              </w:rPr>
              <w:t>拒绝进口</w:t>
            </w:r>
          </w:p>
        </w:tc>
      </w:tr>
      <w:tr w14:paraId="1BB7C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71" w:type="dxa"/>
            <w:vAlign w:val="center"/>
          </w:tcPr>
          <w:p w14:paraId="2268C153">
            <w:pPr>
              <w:spacing w:line="360" w:lineRule="auto"/>
              <w:jc w:val="center"/>
              <w:rPr>
                <w:rFonts w:hint="eastAsia" w:ascii="宋体" w:eastAsia="宋体"/>
                <w:bCs/>
                <w:szCs w:val="21"/>
                <w:lang w:val="en-US" w:eastAsia="zh-CN"/>
              </w:rPr>
            </w:pPr>
            <w:r>
              <w:rPr>
                <w:rFonts w:hint="eastAsia" w:ascii="宋体" w:eastAsia="宋体"/>
                <w:bCs/>
                <w:szCs w:val="21"/>
                <w:lang w:val="en-US" w:eastAsia="zh-CN"/>
              </w:rPr>
              <w:t>4</w:t>
            </w:r>
          </w:p>
        </w:tc>
        <w:tc>
          <w:tcPr>
            <w:tcW w:w="3212" w:type="dxa"/>
            <w:vAlign w:val="center"/>
          </w:tcPr>
          <w:p w14:paraId="02562E7D">
            <w:pPr>
              <w:spacing w:line="360" w:lineRule="auto"/>
              <w:jc w:val="center"/>
              <w:rPr>
                <w:rFonts w:hint="eastAsia" w:ascii="宋体"/>
                <w:szCs w:val="21"/>
                <w:lang w:eastAsia="zh-CN"/>
              </w:rPr>
            </w:pPr>
            <w:r>
              <w:rPr>
                <w:rFonts w:hint="eastAsia" w:ascii="宋体"/>
                <w:szCs w:val="21"/>
                <w:lang w:eastAsia="zh-CN"/>
              </w:rPr>
              <w:t>公务艇（10米带遮阳蓬的敞开艇）</w:t>
            </w:r>
          </w:p>
        </w:tc>
        <w:tc>
          <w:tcPr>
            <w:tcW w:w="952" w:type="dxa"/>
            <w:vAlign w:val="center"/>
          </w:tcPr>
          <w:p w14:paraId="57347DEB">
            <w:pPr>
              <w:spacing w:line="360" w:lineRule="auto"/>
              <w:jc w:val="center"/>
              <w:rPr>
                <w:rFonts w:hint="eastAsia" w:ascii="宋体"/>
                <w:szCs w:val="21"/>
                <w:lang w:eastAsia="zh-CN"/>
              </w:rPr>
            </w:pPr>
            <w:r>
              <w:rPr>
                <w:rFonts w:hint="eastAsia" w:ascii="宋体"/>
                <w:szCs w:val="21"/>
                <w:lang w:val="en-US" w:eastAsia="zh-CN"/>
              </w:rPr>
              <w:t>1</w:t>
            </w:r>
          </w:p>
        </w:tc>
        <w:tc>
          <w:tcPr>
            <w:tcW w:w="953" w:type="dxa"/>
            <w:vAlign w:val="center"/>
          </w:tcPr>
          <w:p w14:paraId="7694ACBD">
            <w:pPr>
              <w:spacing w:line="360" w:lineRule="auto"/>
              <w:jc w:val="center"/>
              <w:rPr>
                <w:rFonts w:hint="eastAsia" w:ascii="宋体"/>
                <w:szCs w:val="21"/>
                <w:lang w:eastAsia="zh-CN"/>
              </w:rPr>
            </w:pPr>
            <w:r>
              <w:rPr>
                <w:rFonts w:hint="eastAsia" w:ascii="宋体"/>
                <w:szCs w:val="21"/>
                <w:lang w:eastAsia="zh-CN"/>
              </w:rPr>
              <w:t>艘</w:t>
            </w:r>
          </w:p>
        </w:tc>
        <w:tc>
          <w:tcPr>
            <w:tcW w:w="1979" w:type="dxa"/>
            <w:vAlign w:val="center"/>
          </w:tcPr>
          <w:p w14:paraId="638A570D">
            <w:pPr>
              <w:spacing w:line="360" w:lineRule="auto"/>
              <w:jc w:val="center"/>
              <w:rPr>
                <w:rFonts w:hint="eastAsia" w:ascii="宋体"/>
                <w:szCs w:val="21"/>
                <w:lang w:eastAsia="zh-CN"/>
              </w:rPr>
            </w:pPr>
            <w:r>
              <w:rPr>
                <w:rFonts w:hint="eastAsia" w:ascii="宋体"/>
                <w:szCs w:val="21"/>
                <w:lang w:eastAsia="zh-CN"/>
              </w:rPr>
              <w:t>1500,000.00</w:t>
            </w:r>
          </w:p>
        </w:tc>
        <w:tc>
          <w:tcPr>
            <w:tcW w:w="1276" w:type="dxa"/>
            <w:vAlign w:val="center"/>
          </w:tcPr>
          <w:p w14:paraId="5ECF3F12">
            <w:pPr>
              <w:spacing w:line="360" w:lineRule="auto"/>
              <w:jc w:val="center"/>
              <w:rPr>
                <w:rFonts w:hint="eastAsia" w:ascii="宋体"/>
                <w:szCs w:val="21"/>
              </w:rPr>
            </w:pPr>
            <w:r>
              <w:rPr>
                <w:rFonts w:hint="eastAsia" w:ascii="宋体"/>
                <w:szCs w:val="21"/>
              </w:rPr>
              <w:t>拒绝进口</w:t>
            </w:r>
          </w:p>
        </w:tc>
      </w:tr>
    </w:tbl>
    <w:p w14:paraId="00436C76">
      <w:pPr>
        <w:spacing w:line="360" w:lineRule="auto"/>
        <w:rPr>
          <w:rFonts w:ascii="宋体"/>
          <w:szCs w:val="21"/>
        </w:rPr>
      </w:pPr>
      <w:r>
        <w:rPr>
          <w:rFonts w:hint="eastAsia" w:ascii="宋体"/>
          <w:szCs w:val="21"/>
        </w:rPr>
        <w:t>备注：</w:t>
      </w:r>
      <w:r>
        <w:rPr>
          <w:rFonts w:ascii="宋体"/>
          <w:szCs w:val="21"/>
        </w:rPr>
        <w:t xml:space="preserve"> </w:t>
      </w:r>
    </w:p>
    <w:p w14:paraId="6F346169">
      <w:pPr>
        <w:spacing w:line="360" w:lineRule="auto"/>
        <w:rPr>
          <w:rFonts w:ascii="宋体"/>
          <w:szCs w:val="21"/>
        </w:rPr>
      </w:pPr>
      <w:r>
        <w:rPr>
          <w:rFonts w:hint="eastAsia" w:ascii="宋体"/>
          <w:szCs w:val="21"/>
          <w:highlight w:val="yellow"/>
        </w:rPr>
        <w:t>1、</w:t>
      </w:r>
      <w:r>
        <w:rPr>
          <w:rFonts w:hint="eastAsia" w:ascii="宋体"/>
          <w:b/>
          <w:szCs w:val="21"/>
          <w:highlight w:val="yellow"/>
        </w:rPr>
        <w:t>本项目核心产品为：</w:t>
      </w:r>
      <w:r>
        <w:rPr>
          <w:rFonts w:hint="eastAsia" w:ascii="宋体"/>
          <w:b/>
          <w:szCs w:val="21"/>
          <w:highlight w:val="yellow"/>
          <w:u w:val="single"/>
        </w:rPr>
        <w:t xml:space="preserve">  公务艇（12米带遮阳蓬的敞开艇）  </w:t>
      </w:r>
      <w:r>
        <w:rPr>
          <w:rFonts w:hint="eastAsia" w:ascii="宋体"/>
          <w:b/>
          <w:szCs w:val="21"/>
          <w:highlight w:val="yellow"/>
        </w:rPr>
        <w:t>。</w:t>
      </w:r>
      <w:r>
        <w:rPr>
          <w:rFonts w:hint="eastAsia" w:ascii="宋体"/>
          <w:szCs w:val="21"/>
          <w:highlight w:val="yellow"/>
        </w:rPr>
        <w:t>如同时有两家或两家以上（均为制造商的合法代理商）通过资格审查及符合性审查的合格投标人</w:t>
      </w:r>
      <w:r>
        <w:rPr>
          <w:rFonts w:hint="eastAsia" w:ascii="宋体"/>
          <w:b/>
          <w:szCs w:val="21"/>
          <w:highlight w:val="yellow"/>
        </w:rPr>
        <w:t>所投核心产品为相同品牌的，按一家投标人计算</w:t>
      </w:r>
      <w:r>
        <w:rPr>
          <w:rFonts w:hint="eastAsia" w:ascii="宋体"/>
          <w:szCs w:val="21"/>
          <w:highlight w:val="yellow"/>
        </w:rPr>
        <w:t>。在此种情况下，评审后得分最高的投标人获得中标人推荐资格；评审得分相同的由报价相对最低的获得中标人推荐资格；评审得分及报价均相同的由技术评分相对最高的获得中标人推荐资格；以上均相同的由评标委员会采取随机抽取方式确定，其他同品牌投标人不作为中标候选人。</w:t>
      </w:r>
      <w:r>
        <w:rPr>
          <w:rFonts w:hint="eastAsia" w:ascii="宋体"/>
          <w:b/>
          <w:szCs w:val="21"/>
          <w:highlight w:val="yellow"/>
        </w:rPr>
        <w:t>货物清单中任意一项产品的投标报价超过其预算金额或最高限价的，将导致投标无效。</w:t>
      </w:r>
    </w:p>
    <w:p w14:paraId="1A390C78">
      <w:pPr>
        <w:spacing w:line="360" w:lineRule="auto"/>
        <w:rPr>
          <w:rFonts w:ascii="宋体"/>
          <w:szCs w:val="21"/>
        </w:rPr>
      </w:pPr>
      <w:r>
        <w:rPr>
          <w:rFonts w:hint="eastAsia" w:ascii="宋体"/>
          <w:szCs w:val="21"/>
        </w:rPr>
        <w:t xml:space="preserve">2、备注栏注明“拒绝进口”的产品不接受投标人选用进口产品参与投标；注明“接受进口”的产品允许投标人选用进口产品参与投标，但不排斥国内产品。 </w:t>
      </w:r>
    </w:p>
    <w:p w14:paraId="3A2CD0D2">
      <w:pPr>
        <w:spacing w:line="360" w:lineRule="auto"/>
        <w:rPr>
          <w:rFonts w:ascii="宋体"/>
          <w:szCs w:val="21"/>
        </w:rPr>
      </w:pPr>
      <w:r>
        <w:rPr>
          <w:rFonts w:hint="eastAsia" w:ascii="宋体"/>
          <w:szCs w:val="21"/>
        </w:rPr>
        <w:t>3、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14:paraId="45E55CC8">
      <w:pPr>
        <w:spacing w:line="360" w:lineRule="auto"/>
        <w:rPr>
          <w:rFonts w:ascii="宋体"/>
          <w:szCs w:val="21"/>
        </w:rPr>
      </w:pPr>
      <w:r>
        <w:rPr>
          <w:rFonts w:hint="eastAsia" w:ascii="宋体"/>
          <w:szCs w:val="21"/>
        </w:rPr>
        <w:t>4、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14:paraId="5D9D05BA">
      <w:pPr>
        <w:spacing w:line="360" w:lineRule="auto"/>
        <w:rPr>
          <w:rFonts w:ascii="宋体"/>
          <w:szCs w:val="21"/>
        </w:rPr>
      </w:pPr>
      <w:r>
        <w:rPr>
          <w:rFonts w:hint="eastAsia" w:ascii="宋体"/>
          <w:szCs w:val="21"/>
        </w:rPr>
        <w:t>5、本项目需求中出现的工艺、材料、设备或参照的品牌等仅为方便描述而没有限制性，投标人可以在其提供的文件资料中选用替代标准，但这些替代标准要优于或相当于项目需求中要求的标准。</w:t>
      </w:r>
    </w:p>
    <w:p w14:paraId="51E6BCCD">
      <w:pPr>
        <w:spacing w:line="360" w:lineRule="auto"/>
        <w:rPr>
          <w:rFonts w:ascii="宋体"/>
          <w:szCs w:val="21"/>
        </w:rPr>
      </w:pPr>
      <w:r>
        <w:rPr>
          <w:rFonts w:hint="eastAsia" w:ascii="宋体"/>
          <w:szCs w:val="21"/>
        </w:rPr>
        <w:t>6、如要求提供证明材料，投标文件需提供相应证明材料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那份证明材料作为判断是否符合采购需求的响应内容。</w:t>
      </w:r>
    </w:p>
    <w:p w14:paraId="78895A98">
      <w:pPr>
        <w:spacing w:line="360" w:lineRule="auto"/>
        <w:rPr>
          <w:rFonts w:hint="eastAsia" w:ascii="宋体"/>
          <w:szCs w:val="21"/>
        </w:rPr>
      </w:pPr>
      <w:r>
        <w:rPr>
          <w:rFonts w:hint="eastAsia" w:ascii="宋体"/>
          <w:szCs w:val="21"/>
        </w:rPr>
        <w:t>7、投标</w:t>
      </w:r>
      <w:r>
        <w:rPr>
          <w:rFonts w:hint="eastAsia" w:ascii="宋体"/>
          <w:szCs w:val="21"/>
          <w:lang w:eastAsia="zh-CN"/>
        </w:rPr>
        <w:t>供应商</w:t>
      </w:r>
      <w:r>
        <w:rPr>
          <w:rFonts w:hint="eastAsia" w:ascii="宋体"/>
          <w:szCs w:val="21"/>
        </w:rPr>
        <w:t>提供证书或检测报告等证明材料的，颁发证书、出具报告的机构须是合法设立的机构，且具有颁发相应证书或者出具相应报告的资质。</w:t>
      </w:r>
    </w:p>
    <w:p w14:paraId="62FFD3DD">
      <w:pPr>
        <w:pStyle w:val="35"/>
        <w:rPr>
          <w:rFonts w:hint="eastAsia" w:ascii="宋体" w:eastAsia="宋体" w:cs="宋体"/>
          <w:color w:val="FF0000"/>
          <w:sz w:val="21"/>
          <w:szCs w:val="21"/>
        </w:rPr>
      </w:pPr>
      <w:r>
        <w:rPr>
          <w:rFonts w:hint="eastAsia" w:ascii="宋体" w:eastAsia="宋体" w:cs="宋体"/>
          <w:b/>
          <w:bCs/>
          <w:color w:val="FF0000"/>
          <w:sz w:val="21"/>
          <w:szCs w:val="21"/>
        </w:rPr>
        <w:t>投标供应商</w:t>
      </w:r>
      <w:r>
        <w:rPr>
          <w:rFonts w:hint="eastAsia" w:ascii="宋体" w:eastAsia="宋体" w:cs="宋体"/>
          <w:b/>
          <w:bCs/>
          <w:color w:val="FF0000"/>
          <w:sz w:val="21"/>
          <w:szCs w:val="21"/>
          <w:lang w:eastAsia="zh-CN"/>
        </w:rPr>
        <w:t>须</w:t>
      </w:r>
      <w:r>
        <w:rPr>
          <w:rFonts w:hint="eastAsia" w:ascii="宋体" w:eastAsia="宋体" w:cs="宋体"/>
          <w:b/>
          <w:bCs/>
          <w:color w:val="FF0000"/>
          <w:sz w:val="21"/>
          <w:szCs w:val="21"/>
        </w:rPr>
        <w:t>严格核实所提交检测报告的真实性</w:t>
      </w:r>
      <w:r>
        <w:rPr>
          <w:rFonts w:hint="eastAsia" w:ascii="宋体" w:eastAsia="宋体" w:cs="宋体"/>
          <w:b/>
          <w:bCs/>
          <w:color w:val="FF0000"/>
          <w:sz w:val="21"/>
          <w:szCs w:val="21"/>
          <w:lang w:eastAsia="zh-CN"/>
        </w:rPr>
        <w:t>，</w:t>
      </w:r>
      <w:r>
        <w:rPr>
          <w:rFonts w:hint="eastAsia" w:ascii="宋体" w:eastAsia="宋体" w:cs="宋体"/>
          <w:b/>
          <w:bCs/>
          <w:color w:val="FF0000"/>
          <w:sz w:val="21"/>
          <w:szCs w:val="21"/>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宋体" w:eastAsia="宋体" w:cs="宋体"/>
          <w:b/>
          <w:bCs/>
          <w:color w:val="FF0000"/>
          <w:sz w:val="21"/>
          <w:szCs w:val="21"/>
          <w:lang w:eastAsia="zh-CN"/>
        </w:rPr>
        <w:t>。</w:t>
      </w:r>
    </w:p>
    <w:p w14:paraId="505A6985">
      <w:pPr>
        <w:spacing w:line="360" w:lineRule="auto"/>
        <w:rPr>
          <w:rFonts w:ascii="宋体"/>
          <w:szCs w:val="21"/>
        </w:rPr>
      </w:pPr>
      <w:r>
        <w:rPr>
          <w:rFonts w:hint="eastAsia" w:ascii="宋体"/>
          <w:szCs w:val="21"/>
        </w:rPr>
        <w:t>8、对于定制类产品，投标人需在投标文件“分项报价表”中明确注明“定制”，否则该产品技术参数按负偏离处理。</w:t>
      </w:r>
    </w:p>
    <w:p w14:paraId="5620A90C">
      <w:pPr>
        <w:spacing w:line="360" w:lineRule="auto"/>
        <w:rPr>
          <w:rFonts w:ascii="宋体"/>
          <w:szCs w:val="21"/>
        </w:rPr>
      </w:pPr>
      <w:r>
        <w:rPr>
          <w:rFonts w:hint="eastAsia" w:ascii="宋体"/>
          <w:szCs w:val="21"/>
        </w:rPr>
        <w:t>9、加注▲的条款为重要条款要求，如不满足将按评标信息进行扣分。</w:t>
      </w:r>
    </w:p>
    <w:p w14:paraId="1427EEB5">
      <w:pPr>
        <w:spacing w:line="360" w:lineRule="auto"/>
        <w:rPr>
          <w:rFonts w:ascii="宋体"/>
          <w:szCs w:val="21"/>
        </w:rPr>
      </w:pPr>
      <w:r>
        <w:rPr>
          <w:rFonts w:hint="eastAsia" w:ascii="宋体"/>
          <w:szCs w:val="21"/>
          <w:highlight w:val="yellow"/>
        </w:rPr>
        <w:t>10、加注★的条款为不可负偏离的实质性条款，任一项未响应或不满足要求的，将导致投标无效。</w:t>
      </w:r>
    </w:p>
    <w:p w14:paraId="4A7F294D">
      <w:pPr>
        <w:pStyle w:val="18"/>
      </w:pPr>
    </w:p>
    <w:p w14:paraId="083D6FA1">
      <w:pPr>
        <w:rPr>
          <w:rFonts w:ascii="宋体"/>
          <w:b/>
          <w:szCs w:val="21"/>
        </w:rPr>
      </w:pPr>
    </w:p>
    <w:p w14:paraId="03F8E5C7">
      <w:pPr>
        <w:pStyle w:val="5"/>
        <w:spacing w:before="120" w:beforeLines="50" w:after="120" w:afterLines="50"/>
        <w:rPr>
          <w:b/>
          <w:bCs/>
        </w:rPr>
      </w:pPr>
      <w:bookmarkStart w:id="25" w:name="_Toc128884461"/>
      <w:r>
        <w:rPr>
          <w:rFonts w:hint="eastAsia"/>
          <w:b/>
          <w:bCs/>
          <w:sz w:val="28"/>
          <w:szCs w:val="28"/>
        </w:rPr>
        <w:t>三、实质性条款</w:t>
      </w:r>
    </w:p>
    <w:tbl>
      <w:tblPr>
        <w:tblStyle w:val="42"/>
        <w:tblW w:w="8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598"/>
      </w:tblGrid>
      <w:tr w14:paraId="2846D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Align w:val="center"/>
          </w:tcPr>
          <w:p w14:paraId="19868513">
            <w:pPr>
              <w:widowControl/>
              <w:spacing w:line="360" w:lineRule="auto"/>
              <w:jc w:val="center"/>
              <w:rPr>
                <w:szCs w:val="21"/>
              </w:rPr>
            </w:pPr>
            <w:r>
              <w:rPr>
                <w:rFonts w:hint="eastAsia"/>
                <w:szCs w:val="21"/>
              </w:rPr>
              <w:t>序号</w:t>
            </w:r>
          </w:p>
        </w:tc>
        <w:tc>
          <w:tcPr>
            <w:tcW w:w="7598" w:type="dxa"/>
          </w:tcPr>
          <w:p w14:paraId="5CD40CAE">
            <w:pPr>
              <w:widowControl/>
              <w:spacing w:line="360" w:lineRule="auto"/>
              <w:jc w:val="center"/>
              <w:rPr>
                <w:szCs w:val="21"/>
              </w:rPr>
            </w:pPr>
            <w:r>
              <w:rPr>
                <w:rFonts w:hint="eastAsia"/>
                <w:szCs w:val="21"/>
              </w:rPr>
              <w:t>具体内容</w:t>
            </w:r>
          </w:p>
        </w:tc>
      </w:tr>
      <w:tr w14:paraId="33561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Align w:val="center"/>
          </w:tcPr>
          <w:p w14:paraId="602B66B3">
            <w:pPr>
              <w:spacing w:line="360" w:lineRule="auto"/>
              <w:jc w:val="center"/>
              <w:rPr>
                <w:rFonts w:ascii="宋体" w:eastAsia="宋体"/>
                <w:szCs w:val="21"/>
              </w:rPr>
            </w:pPr>
            <w:r>
              <w:rPr>
                <w:rFonts w:hint="eastAsia" w:ascii="宋体" w:eastAsia="宋体"/>
                <w:szCs w:val="21"/>
              </w:rPr>
              <w:t>1</w:t>
            </w:r>
          </w:p>
        </w:tc>
        <w:tc>
          <w:tcPr>
            <w:tcW w:w="7598" w:type="dxa"/>
            <w:vAlign w:val="center"/>
          </w:tcPr>
          <w:p w14:paraId="2B1C3492">
            <w:pPr>
              <w:keepNext/>
              <w:keepLines/>
              <w:widowControl w:val="0"/>
              <w:tabs>
                <w:tab w:val="left" w:pos="765"/>
              </w:tabs>
              <w:spacing w:line="377" w:lineRule="auto"/>
              <w:outlineLvl w:val="3"/>
              <w:rPr>
                <w:rFonts w:ascii="宋体" w:eastAsia="宋体"/>
                <w:b/>
                <w:szCs w:val="21"/>
              </w:rPr>
            </w:pPr>
            <w:r>
              <w:rPr>
                <w:rFonts w:hint="eastAsia" w:ascii="宋体" w:eastAsia="宋体" w:cs="宋体"/>
                <w:kern w:val="0"/>
                <w:sz w:val="21"/>
                <w:szCs w:val="21"/>
              </w:rPr>
              <w:t>满足本项目</w:t>
            </w:r>
            <w:r>
              <w:rPr>
                <w:rFonts w:hint="eastAsia" w:ascii="宋体" w:eastAsia="宋体" w:cs="宋体"/>
                <w:kern w:val="0"/>
                <w:sz w:val="21"/>
                <w:szCs w:val="21"/>
                <w:lang w:eastAsia="zh-CN"/>
              </w:rPr>
              <w:t>所有</w:t>
            </w:r>
            <w:r>
              <w:rPr>
                <w:rFonts w:hint="eastAsia" w:ascii="宋体" w:eastAsia="宋体" w:cs="宋体"/>
                <w:kern w:val="0"/>
                <w:sz w:val="21"/>
                <w:szCs w:val="21"/>
              </w:rPr>
              <w:t>标★的条款要求</w:t>
            </w:r>
            <w:r>
              <w:rPr>
                <w:rFonts w:hint="eastAsia" w:ascii="宋体" w:eastAsia="宋体" w:cs="宋体"/>
                <w:b/>
                <w:bCs/>
                <w:kern w:val="0"/>
                <w:sz w:val="21"/>
                <w:szCs w:val="21"/>
                <w:lang w:eastAsia="zh-CN"/>
              </w:rPr>
              <w:t>（涉及提供佐证材料的，应按要求提供相应证明材料，任一项未响应或不满足要求的，将导致投标无效。）</w:t>
            </w:r>
          </w:p>
        </w:tc>
      </w:tr>
    </w:tbl>
    <w:p w14:paraId="43DFD598">
      <w:pPr>
        <w:adjustRightInd w:val="0"/>
        <w:snapToGrid w:val="0"/>
        <w:spacing w:line="360" w:lineRule="auto"/>
        <w:ind w:firstLine="482" w:firstLineChars="200"/>
      </w:pPr>
      <w:r>
        <w:rPr>
          <w:rFonts w:hint="eastAsia" w:ascii="黑体" w:hAnsi="黑体"/>
          <w:b/>
          <w:kern w:val="0"/>
          <w:sz w:val="24"/>
        </w:rPr>
        <w:t>注：上表所列内容为不可负偏离的实质性条款。</w:t>
      </w:r>
    </w:p>
    <w:bookmarkEnd w:id="25"/>
    <w:p w14:paraId="595B6156">
      <w:pPr>
        <w:rPr>
          <w:b/>
          <w:szCs w:val="21"/>
        </w:rPr>
      </w:pPr>
    </w:p>
    <w:p w14:paraId="03DA9F1A">
      <w:pPr>
        <w:pStyle w:val="5"/>
        <w:numPr>
          <w:ilvl w:val="0"/>
          <w:numId w:val="8"/>
        </w:numPr>
        <w:spacing w:before="120" w:beforeLines="50" w:after="120" w:afterLines="50"/>
        <w:rPr>
          <w:rFonts w:hint="eastAsia"/>
          <w:b/>
          <w:bCs/>
          <w:sz w:val="28"/>
          <w:szCs w:val="28"/>
        </w:rPr>
      </w:pPr>
      <w:r>
        <w:rPr>
          <w:rFonts w:hint="eastAsia"/>
          <w:b/>
          <w:bCs/>
          <w:sz w:val="28"/>
          <w:szCs w:val="28"/>
        </w:rPr>
        <w:t>具体技术要求</w:t>
      </w:r>
    </w:p>
    <w:p w14:paraId="48C69881">
      <w:pPr>
        <w:keepNext w:val="0"/>
        <w:keepLines w:val="0"/>
        <w:pageBreakBefore w:val="0"/>
        <w:widowControl w:val="0"/>
        <w:kinsoku/>
        <w:wordWrap/>
        <w:overflowPunct/>
        <w:topLinePunct w:val="0"/>
        <w:autoSpaceDE/>
        <w:autoSpaceDN/>
        <w:bidi w:val="0"/>
        <w:snapToGrid/>
        <w:spacing w:line="360" w:lineRule="auto"/>
        <w:rPr>
          <w:rFonts w:hint="eastAsia" w:ascii="宋体" w:eastAsia="宋体" w:cs="宋体"/>
          <w:sz w:val="21"/>
          <w:szCs w:val="21"/>
          <w:lang w:val="en-US" w:eastAsia="zh-CN"/>
        </w:rPr>
      </w:pPr>
      <w:r>
        <w:rPr>
          <w:rFonts w:hint="eastAsia" w:ascii="宋体" w:eastAsia="宋体" w:cs="宋体"/>
          <w:sz w:val="21"/>
          <w:szCs w:val="21"/>
          <w:lang w:eastAsia="zh-CN"/>
        </w:rPr>
        <w:t>说明：</w:t>
      </w:r>
      <w:r>
        <w:rPr>
          <w:rFonts w:hint="eastAsia" w:ascii="宋体" w:eastAsia="宋体" w:cs="宋体"/>
          <w:sz w:val="21"/>
          <w:szCs w:val="21"/>
          <w:lang w:val="en-US" w:eastAsia="zh-CN"/>
        </w:rPr>
        <w:t>1、技术参数中涉及固定数值的，投标响应内容与该参数中的数值不等同者，均视为负偏离（例如：变焦：1.5倍，投标响应为：变焦：1.2倍或1.6倍或1.2倍-1.5倍等情形，与招标要求不等同的，均视为负偏离）。</w:t>
      </w:r>
    </w:p>
    <w:p w14:paraId="5596245C">
      <w:pPr>
        <w:keepNext w:val="0"/>
        <w:keepLines w:val="0"/>
        <w:pageBreakBefore w:val="0"/>
        <w:widowControl w:val="0"/>
        <w:numPr>
          <w:ilvl w:val="0"/>
          <w:numId w:val="9"/>
        </w:numPr>
        <w:kinsoku/>
        <w:wordWrap/>
        <w:overflowPunct/>
        <w:topLinePunct w:val="0"/>
        <w:autoSpaceDE/>
        <w:autoSpaceDN/>
        <w:bidi w:val="0"/>
        <w:snapToGrid/>
        <w:spacing w:line="360" w:lineRule="auto"/>
        <w:rPr>
          <w:rFonts w:hint="eastAsia" w:ascii="宋体" w:eastAsia="宋体" w:cs="宋体"/>
          <w:sz w:val="21"/>
          <w:szCs w:val="21"/>
          <w:lang w:val="en-US" w:eastAsia="zh-CN"/>
        </w:rPr>
      </w:pPr>
      <w:r>
        <w:rPr>
          <w:rFonts w:hint="eastAsia" w:ascii="宋体" w:eastAsia="宋体" w:cs="宋体"/>
          <w:sz w:val="21"/>
          <w:szCs w:val="21"/>
          <w:lang w:val="en-US" w:eastAsia="zh-CN"/>
        </w:rPr>
        <w:t>技术参数中涉及的数值设置下限值或上限值要求的，投标响应内容存在不满足数值要求可能情形的均视为负偏离（例如：变焦：</w:t>
      </w:r>
      <w:r>
        <w:rPr>
          <w:rFonts w:hint="eastAsia" w:ascii="宋体" w:eastAsia="宋体" w:cs="宋体"/>
          <w:b w:val="0"/>
          <w:bCs/>
          <w:sz w:val="21"/>
          <w:szCs w:val="21"/>
        </w:rPr>
        <w:t>≥</w:t>
      </w:r>
      <w:r>
        <w:rPr>
          <w:rFonts w:hint="eastAsia" w:ascii="宋体" w:eastAsia="宋体" w:cs="宋体"/>
          <w:sz w:val="21"/>
          <w:szCs w:val="21"/>
          <w:lang w:val="en-US" w:eastAsia="zh-CN"/>
        </w:rPr>
        <w:t>1.5倍，投标响应为：变焦：</w:t>
      </w:r>
      <w:r>
        <w:rPr>
          <w:rFonts w:hint="eastAsia" w:ascii="宋体" w:eastAsia="宋体" w:cs="宋体"/>
          <w:b w:val="0"/>
          <w:bCs/>
          <w:sz w:val="21"/>
          <w:szCs w:val="21"/>
        </w:rPr>
        <w:t>≥</w:t>
      </w:r>
      <w:r>
        <w:rPr>
          <w:rFonts w:hint="eastAsia" w:ascii="宋体" w:eastAsia="宋体" w:cs="宋体"/>
          <w:sz w:val="21"/>
          <w:szCs w:val="21"/>
          <w:lang w:val="en-US" w:eastAsia="zh-CN"/>
        </w:rPr>
        <w:t>1.2倍或1.2倍-1.5倍等情形，存在低于1.5倍的可能的，均视为负偏离；如投标响应为变焦</w:t>
      </w:r>
      <w:r>
        <w:rPr>
          <w:rFonts w:hint="eastAsia" w:ascii="宋体" w:eastAsia="宋体" w:cs="宋体"/>
          <w:b w:val="0"/>
          <w:bCs/>
          <w:sz w:val="21"/>
          <w:szCs w:val="21"/>
        </w:rPr>
        <w:t>≥</w:t>
      </w:r>
      <w:r>
        <w:rPr>
          <w:rFonts w:hint="eastAsia" w:ascii="宋体" w:eastAsia="宋体" w:cs="宋体"/>
          <w:sz w:val="21"/>
          <w:szCs w:val="21"/>
          <w:lang w:val="en-US" w:eastAsia="zh-CN"/>
        </w:rPr>
        <w:t>1.</w:t>
      </w:r>
      <w:r>
        <w:rPr>
          <w:rFonts w:hint="eastAsia" w:ascii="宋体" w:cs="宋体"/>
          <w:sz w:val="21"/>
          <w:szCs w:val="21"/>
          <w:lang w:val="en-US" w:eastAsia="zh-CN"/>
        </w:rPr>
        <w:t>6</w:t>
      </w:r>
      <w:r>
        <w:rPr>
          <w:rFonts w:hint="eastAsia" w:ascii="宋体" w:eastAsia="宋体" w:cs="宋体"/>
          <w:sz w:val="21"/>
          <w:szCs w:val="21"/>
          <w:lang w:val="en-US" w:eastAsia="zh-CN"/>
        </w:rPr>
        <w:t>倍</w:t>
      </w:r>
      <w:r>
        <w:rPr>
          <w:rFonts w:hint="eastAsia" w:ascii="宋体" w:cs="宋体"/>
          <w:sz w:val="21"/>
          <w:szCs w:val="21"/>
          <w:lang w:val="en-US" w:eastAsia="zh-CN"/>
        </w:rPr>
        <w:t>，视为正偏离</w:t>
      </w:r>
      <w:r>
        <w:rPr>
          <w:rFonts w:hint="eastAsia" w:ascii="宋体" w:eastAsia="宋体" w:cs="宋体"/>
          <w:sz w:val="21"/>
          <w:szCs w:val="21"/>
          <w:lang w:val="en-US" w:eastAsia="zh-CN"/>
        </w:rPr>
        <w:t>）。</w:t>
      </w:r>
    </w:p>
    <w:p w14:paraId="18DC7134">
      <w:pPr>
        <w:keepNext w:val="0"/>
        <w:keepLines w:val="0"/>
        <w:pageBreakBefore w:val="0"/>
        <w:widowControl w:val="0"/>
        <w:numPr>
          <w:ilvl w:val="0"/>
          <w:numId w:val="9"/>
        </w:numPr>
        <w:kinsoku/>
        <w:wordWrap/>
        <w:overflowPunct/>
        <w:topLinePunct w:val="0"/>
        <w:autoSpaceDE/>
        <w:autoSpaceDN/>
        <w:bidi w:val="0"/>
        <w:snapToGrid/>
        <w:spacing w:line="360" w:lineRule="auto"/>
        <w:rPr>
          <w:rFonts w:hint="eastAsia" w:ascii="宋体" w:eastAsia="宋体" w:cs="宋体"/>
          <w:sz w:val="21"/>
          <w:szCs w:val="21"/>
          <w:lang w:val="en-US" w:eastAsia="zh-CN"/>
        </w:rPr>
      </w:pPr>
      <w:r>
        <w:rPr>
          <w:rFonts w:hint="eastAsia" w:ascii="宋体" w:eastAsia="宋体" w:cs="宋体"/>
          <w:sz w:val="21"/>
          <w:szCs w:val="21"/>
          <w:lang w:val="en-US" w:eastAsia="zh-CN"/>
        </w:rPr>
        <w:t>涉及区间的技术</w:t>
      </w:r>
      <w:r>
        <w:rPr>
          <w:rFonts w:hint="eastAsia" w:ascii="宋体" w:cs="宋体"/>
          <w:sz w:val="21"/>
          <w:szCs w:val="21"/>
          <w:lang w:val="en-US" w:eastAsia="zh-CN"/>
        </w:rPr>
        <w:t>参数</w:t>
      </w:r>
      <w:r>
        <w:rPr>
          <w:rFonts w:hint="eastAsia" w:ascii="宋体" w:eastAsia="宋体" w:cs="宋体"/>
          <w:sz w:val="21"/>
          <w:szCs w:val="21"/>
          <w:lang w:val="en-US" w:eastAsia="zh-CN"/>
        </w:rPr>
        <w:t>，除特别注明以外，所投产品范围涵盖对应的区间即认定为满足该项技术要求。例：区间要求为5-20ML, 所投产品范围最小值≤5ML，范围最大值≥20ML，即为满足该项技术要求。</w:t>
      </w:r>
    </w:p>
    <w:p w14:paraId="54EBBCE7">
      <w:pPr>
        <w:keepNext w:val="0"/>
        <w:keepLines w:val="0"/>
        <w:pageBreakBefore w:val="0"/>
        <w:widowControl w:val="0"/>
        <w:kinsoku/>
        <w:wordWrap/>
        <w:overflowPunct/>
        <w:topLinePunct w:val="0"/>
        <w:autoSpaceDE/>
        <w:autoSpaceDN/>
        <w:bidi w:val="0"/>
        <w:snapToGrid/>
        <w:spacing w:line="360" w:lineRule="auto"/>
        <w:rPr>
          <w:b/>
          <w:bCs/>
        </w:rPr>
      </w:pPr>
      <w:r>
        <w:rPr>
          <w:rFonts w:hint="eastAsia" w:ascii="宋体" w:eastAsia="宋体" w:cs="宋体"/>
          <w:b/>
          <w:bCs/>
          <w:sz w:val="21"/>
          <w:szCs w:val="21"/>
          <w:lang w:val="en-US" w:eastAsia="zh-CN"/>
        </w:rPr>
        <w:t>注：如技术参数中关于数值未作说明的，按上述规定认定负偏离情形；如技术参数中关于数值</w:t>
      </w:r>
      <w:r>
        <w:rPr>
          <w:rFonts w:hint="eastAsia" w:ascii="宋体" w:cs="宋体"/>
          <w:b/>
          <w:bCs/>
          <w:sz w:val="21"/>
          <w:szCs w:val="21"/>
          <w:lang w:val="en-US" w:eastAsia="zh-CN"/>
        </w:rPr>
        <w:t>作出说明且与上述规定存在冲突或不一致的，以技术参数中的具体</w:t>
      </w:r>
      <w:r>
        <w:rPr>
          <w:rFonts w:hint="eastAsia" w:ascii="宋体" w:eastAsia="宋体" w:cs="宋体"/>
          <w:b/>
          <w:bCs/>
          <w:sz w:val="21"/>
          <w:szCs w:val="21"/>
          <w:lang w:val="en-US" w:eastAsia="zh-CN"/>
        </w:rPr>
        <w:t>要求</w:t>
      </w:r>
      <w:r>
        <w:rPr>
          <w:rFonts w:hint="eastAsia" w:ascii="宋体" w:cs="宋体"/>
          <w:b/>
          <w:bCs/>
          <w:sz w:val="21"/>
          <w:szCs w:val="21"/>
          <w:lang w:val="en-US" w:eastAsia="zh-CN"/>
        </w:rPr>
        <w:t>为准。</w:t>
      </w:r>
    </w:p>
    <w:tbl>
      <w:tblPr>
        <w:tblStyle w:val="42"/>
        <w:tblW w:w="8874" w:type="dxa"/>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1292"/>
        <w:gridCol w:w="6875"/>
      </w:tblGrid>
      <w:tr w14:paraId="04AF7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707" w:type="dxa"/>
            <w:vAlign w:val="center"/>
          </w:tcPr>
          <w:p w14:paraId="40856B67">
            <w:pPr>
              <w:spacing w:line="360" w:lineRule="auto"/>
              <w:jc w:val="center"/>
              <w:rPr>
                <w:rFonts w:hint="eastAsia" w:ascii="宋体" w:eastAsia="宋体" w:cs="宋体"/>
                <w:b/>
                <w:bCs/>
                <w:sz w:val="21"/>
                <w:szCs w:val="21"/>
                <w:highlight w:val="none"/>
              </w:rPr>
            </w:pPr>
            <w:bookmarkStart w:id="26" w:name="_Hlk70236148"/>
            <w:r>
              <w:rPr>
                <w:rFonts w:hint="eastAsia" w:ascii="宋体" w:eastAsia="宋体" w:cs="宋体"/>
                <w:b/>
                <w:bCs/>
                <w:sz w:val="21"/>
                <w:szCs w:val="21"/>
                <w:highlight w:val="none"/>
              </w:rPr>
              <w:t>序号</w:t>
            </w:r>
          </w:p>
        </w:tc>
        <w:tc>
          <w:tcPr>
            <w:tcW w:w="1292" w:type="dxa"/>
            <w:vAlign w:val="center"/>
          </w:tcPr>
          <w:p w14:paraId="6BBFCC7B">
            <w:pPr>
              <w:widowControl/>
              <w:spacing w:line="360" w:lineRule="auto"/>
              <w:jc w:val="center"/>
              <w:rPr>
                <w:rFonts w:hint="eastAsia" w:ascii="宋体" w:eastAsia="宋体" w:cs="宋体"/>
                <w:b/>
                <w:bCs/>
                <w:sz w:val="21"/>
                <w:szCs w:val="21"/>
                <w:highlight w:val="none"/>
              </w:rPr>
            </w:pPr>
            <w:r>
              <w:rPr>
                <w:rFonts w:hint="eastAsia" w:ascii="宋体" w:eastAsia="宋体" w:cs="宋体"/>
                <w:b/>
                <w:bCs/>
                <w:sz w:val="21"/>
                <w:szCs w:val="21"/>
                <w:highlight w:val="none"/>
              </w:rPr>
              <w:t>货物名称</w:t>
            </w:r>
          </w:p>
        </w:tc>
        <w:tc>
          <w:tcPr>
            <w:tcW w:w="6875" w:type="dxa"/>
            <w:vAlign w:val="center"/>
          </w:tcPr>
          <w:p w14:paraId="2A4BF6C0">
            <w:pPr>
              <w:spacing w:line="360" w:lineRule="auto"/>
              <w:jc w:val="center"/>
              <w:rPr>
                <w:rFonts w:hint="eastAsia" w:ascii="宋体" w:eastAsia="宋体" w:cs="宋体"/>
                <w:b/>
                <w:bCs/>
                <w:sz w:val="21"/>
                <w:szCs w:val="21"/>
                <w:highlight w:val="none"/>
              </w:rPr>
            </w:pPr>
            <w:r>
              <w:rPr>
                <w:rFonts w:hint="eastAsia" w:ascii="宋体" w:eastAsia="宋体" w:cs="宋体"/>
                <w:b/>
                <w:bCs/>
                <w:sz w:val="21"/>
                <w:szCs w:val="21"/>
                <w:highlight w:val="none"/>
              </w:rPr>
              <w:t>招标技术要求</w:t>
            </w:r>
          </w:p>
        </w:tc>
      </w:tr>
      <w:tr w14:paraId="491B7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07" w:type="dxa"/>
            <w:vMerge w:val="restart"/>
            <w:vAlign w:val="center"/>
          </w:tcPr>
          <w:p w14:paraId="357CFA38">
            <w:pPr>
              <w:spacing w:line="360" w:lineRule="auto"/>
              <w:jc w:val="center"/>
              <w:rPr>
                <w:rFonts w:hint="eastAsia" w:ascii="宋体" w:eastAsia="宋体" w:cs="宋体"/>
                <w:sz w:val="21"/>
                <w:szCs w:val="21"/>
                <w:highlight w:val="none"/>
              </w:rPr>
            </w:pPr>
            <w:r>
              <w:rPr>
                <w:rFonts w:hint="eastAsia" w:ascii="宋体" w:eastAsia="宋体" w:cs="宋体"/>
                <w:sz w:val="21"/>
                <w:szCs w:val="21"/>
                <w:highlight w:val="none"/>
              </w:rPr>
              <w:t>1</w:t>
            </w:r>
          </w:p>
        </w:tc>
        <w:tc>
          <w:tcPr>
            <w:tcW w:w="1292" w:type="dxa"/>
            <w:vMerge w:val="restart"/>
            <w:vAlign w:val="center"/>
          </w:tcPr>
          <w:p w14:paraId="47555083">
            <w:pPr>
              <w:spacing w:line="360" w:lineRule="auto"/>
              <w:jc w:val="center"/>
              <w:rPr>
                <w:rFonts w:hint="eastAsia" w:ascii="宋体" w:eastAsia="宋体" w:cs="宋体"/>
                <w:sz w:val="21"/>
                <w:szCs w:val="21"/>
                <w:highlight w:val="none"/>
              </w:rPr>
            </w:pPr>
            <w:r>
              <w:rPr>
                <w:rFonts w:hint="eastAsia" w:ascii="宋体" w:eastAsia="宋体" w:cs="宋体"/>
                <w:bCs/>
                <w:sz w:val="21"/>
                <w:szCs w:val="21"/>
                <w:highlight w:val="none"/>
              </w:rPr>
              <w:t>公务艇（12米半蓬敞开艇）</w:t>
            </w:r>
          </w:p>
        </w:tc>
        <w:tc>
          <w:tcPr>
            <w:tcW w:w="6875" w:type="dxa"/>
          </w:tcPr>
          <w:p w14:paraId="000B98AB">
            <w:pPr>
              <w:spacing w:line="360" w:lineRule="auto"/>
              <w:rPr>
                <w:rFonts w:hint="eastAsia" w:ascii="宋体" w:eastAsia="宋体" w:cs="宋体"/>
                <w:sz w:val="21"/>
                <w:szCs w:val="21"/>
                <w:highlight w:val="none"/>
                <w:lang w:val="en-US" w:eastAsia="zh-CN"/>
              </w:rPr>
            </w:pPr>
            <w:r>
              <w:rPr>
                <w:rFonts w:hint="eastAsia" w:ascii="宋体" w:eastAsia="宋体" w:cs="宋体"/>
                <w:sz w:val="21"/>
                <w:szCs w:val="21"/>
                <w:highlight w:val="none"/>
              </w:rPr>
              <w:t>1.</w:t>
            </w:r>
            <w:r>
              <w:rPr>
                <w:rFonts w:hint="eastAsia" w:ascii="宋体" w:cs="宋体"/>
                <w:sz w:val="21"/>
                <w:szCs w:val="21"/>
                <w:highlight w:val="none"/>
                <w:lang w:val="en-US" w:eastAsia="zh-CN"/>
              </w:rPr>
              <w:t>需求概况：</w:t>
            </w:r>
          </w:p>
          <w:p w14:paraId="1F1DFD81">
            <w:pPr>
              <w:spacing w:line="360" w:lineRule="auto"/>
              <w:rPr>
                <w:rFonts w:hint="eastAsia" w:ascii="宋体" w:eastAsia="宋体" w:cs="宋体"/>
                <w:sz w:val="21"/>
                <w:szCs w:val="21"/>
                <w:highlight w:val="none"/>
              </w:rPr>
            </w:pPr>
            <w:r>
              <w:rPr>
                <w:rFonts w:hint="eastAsia" w:ascii="宋体" w:eastAsia="宋体" w:cs="宋体"/>
                <w:b w:val="0"/>
                <w:bCs w:val="0"/>
                <w:kern w:val="0"/>
                <w:sz w:val="21"/>
                <w:szCs w:val="21"/>
                <w:highlight w:val="none"/>
              </w:rPr>
              <w:t>（</w:t>
            </w:r>
            <w:r>
              <w:rPr>
                <w:rFonts w:hint="eastAsia" w:ascii="宋体" w:cs="宋体"/>
                <w:b w:val="0"/>
                <w:bCs w:val="0"/>
                <w:kern w:val="0"/>
                <w:sz w:val="21"/>
                <w:szCs w:val="21"/>
                <w:highlight w:val="none"/>
                <w:lang w:val="en-US" w:eastAsia="zh-CN"/>
              </w:rPr>
              <w:t>1</w:t>
            </w:r>
            <w:r>
              <w:rPr>
                <w:rFonts w:hint="eastAsia" w:ascii="宋体" w:eastAsia="宋体" w:cs="宋体"/>
                <w:b w:val="0"/>
                <w:bCs w:val="0"/>
                <w:kern w:val="0"/>
                <w:sz w:val="21"/>
                <w:szCs w:val="21"/>
                <w:highlight w:val="none"/>
              </w:rPr>
              <w:t>）抗风能力：不低于蒲氏6级。</w:t>
            </w:r>
          </w:p>
          <w:p w14:paraId="2B9D3AAC">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w:t>
            </w:r>
            <w:r>
              <w:rPr>
                <w:rFonts w:hint="eastAsia" w:ascii="宋体" w:cs="宋体"/>
                <w:kern w:val="0"/>
                <w:sz w:val="21"/>
                <w:szCs w:val="21"/>
                <w:highlight w:val="none"/>
                <w:lang w:val="en-US" w:eastAsia="zh-CN"/>
              </w:rPr>
              <w:t>2</w:t>
            </w:r>
            <w:r>
              <w:rPr>
                <w:rFonts w:hint="eastAsia" w:ascii="宋体" w:eastAsia="宋体" w:cs="宋体"/>
                <w:kern w:val="0"/>
                <w:sz w:val="21"/>
                <w:szCs w:val="21"/>
                <w:highlight w:val="none"/>
              </w:rPr>
              <w:t>）规范和规则</w:t>
            </w:r>
          </w:p>
          <w:p w14:paraId="2D71657B">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①中华人民共和国海事局（MSA）《公务船技术规则》（2020年）；</w:t>
            </w:r>
          </w:p>
          <w:p w14:paraId="6E134D91">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②中华人民共和国海事局（MSA）《国内航行小型海船技术规则》（2024）；</w:t>
            </w:r>
          </w:p>
          <w:p w14:paraId="4F7828EA">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③中华人民共和国海事局（MSA）《吨位丈量规则》（2022年）；</w:t>
            </w:r>
          </w:p>
          <w:p w14:paraId="4A9A5901">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④中国船级社（CCS）《材料与焊接规范》（2024年）。</w:t>
            </w:r>
          </w:p>
          <w:p w14:paraId="41360D4E">
            <w:pPr>
              <w:spacing w:line="360" w:lineRule="auto"/>
              <w:rPr>
                <w:rFonts w:hint="eastAsia" w:ascii="宋体" w:eastAsia="宋体" w:cs="宋体"/>
                <w:kern w:val="0"/>
                <w:sz w:val="21"/>
                <w:szCs w:val="21"/>
                <w:highlight w:val="none"/>
                <w:lang w:eastAsia="zh-CN"/>
              </w:rPr>
            </w:pPr>
            <w:r>
              <w:rPr>
                <w:rFonts w:hint="eastAsia" w:ascii="宋体" w:eastAsia="宋体" w:cs="宋体"/>
                <w:kern w:val="0"/>
                <w:sz w:val="21"/>
                <w:szCs w:val="21"/>
                <w:highlight w:val="none"/>
              </w:rPr>
              <w:t>（</w:t>
            </w:r>
            <w:r>
              <w:rPr>
                <w:rFonts w:hint="eastAsia" w:ascii="宋体" w:cs="宋体"/>
                <w:kern w:val="0"/>
                <w:sz w:val="21"/>
                <w:szCs w:val="21"/>
                <w:highlight w:val="none"/>
                <w:lang w:val="en-US" w:eastAsia="zh-CN"/>
              </w:rPr>
              <w:t>3</w:t>
            </w:r>
            <w:r>
              <w:rPr>
                <w:rFonts w:hint="eastAsia" w:ascii="宋体" w:eastAsia="宋体" w:cs="宋体"/>
                <w:kern w:val="0"/>
                <w:sz w:val="21"/>
                <w:szCs w:val="21"/>
                <w:highlight w:val="none"/>
              </w:rPr>
              <w:t>）干舷和储备浮力：要求干舷和储备浮力需满足MSA《国内航行小型海船技术规则》（2024）对敞开艇的相关要求</w:t>
            </w:r>
            <w:r>
              <w:rPr>
                <w:rFonts w:hint="eastAsia" w:ascii="宋体" w:cs="宋体"/>
                <w:kern w:val="0"/>
                <w:sz w:val="21"/>
                <w:szCs w:val="21"/>
                <w:highlight w:val="none"/>
                <w:lang w:eastAsia="zh-CN"/>
              </w:rPr>
              <w:t>。</w:t>
            </w:r>
          </w:p>
          <w:p w14:paraId="683B3702">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w:t>
            </w:r>
            <w:r>
              <w:rPr>
                <w:rFonts w:hint="eastAsia" w:ascii="宋体" w:cs="宋体"/>
                <w:kern w:val="0"/>
                <w:sz w:val="21"/>
                <w:szCs w:val="21"/>
                <w:highlight w:val="none"/>
                <w:lang w:val="en-US" w:eastAsia="zh-CN"/>
              </w:rPr>
              <w:t>4</w:t>
            </w:r>
            <w:r>
              <w:rPr>
                <w:rFonts w:hint="eastAsia" w:ascii="宋体" w:eastAsia="宋体" w:cs="宋体"/>
                <w:kern w:val="0"/>
                <w:sz w:val="21"/>
                <w:szCs w:val="21"/>
                <w:highlight w:val="none"/>
              </w:rPr>
              <w:t>）完整稳性：要求稳性需满足MSA《国内航行小型海船技术规则》（2024）和《国内航行海船法定检验技术规则》（2020年）对高速船舶的相关要求。</w:t>
            </w:r>
          </w:p>
          <w:p w14:paraId="3D0D2C37">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w:t>
            </w:r>
            <w:r>
              <w:rPr>
                <w:rFonts w:hint="eastAsia" w:ascii="宋体" w:cs="宋体"/>
                <w:kern w:val="0"/>
                <w:sz w:val="21"/>
                <w:szCs w:val="21"/>
                <w:highlight w:val="none"/>
                <w:lang w:val="en-US" w:eastAsia="zh-CN"/>
              </w:rPr>
              <w:t>5</w:t>
            </w:r>
            <w:r>
              <w:rPr>
                <w:rFonts w:hint="eastAsia" w:ascii="宋体" w:eastAsia="宋体" w:cs="宋体"/>
                <w:kern w:val="0"/>
                <w:sz w:val="21"/>
                <w:szCs w:val="21"/>
                <w:highlight w:val="none"/>
              </w:rPr>
              <w:t>）破损稳性：要求破损稳性需满足MSA《国内航行小型海船技术规则》（2024）的相关要求，满足进水不沉。</w:t>
            </w:r>
          </w:p>
        </w:tc>
      </w:tr>
      <w:tr w14:paraId="442E6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trPr>
        <w:tc>
          <w:tcPr>
            <w:tcW w:w="707" w:type="dxa"/>
            <w:vMerge w:val="continue"/>
          </w:tcPr>
          <w:p w14:paraId="7BE9FD79"/>
        </w:tc>
        <w:tc>
          <w:tcPr>
            <w:tcW w:w="1292" w:type="dxa"/>
            <w:vMerge w:val="continue"/>
          </w:tcPr>
          <w:p w14:paraId="76282EED"/>
        </w:tc>
        <w:tc>
          <w:tcPr>
            <w:tcW w:w="6875" w:type="dxa"/>
          </w:tcPr>
          <w:p w14:paraId="1F453076">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（一）、船体部分</w:t>
            </w:r>
          </w:p>
          <w:p w14:paraId="305B76F8">
            <w:pPr>
              <w:tabs>
                <w:tab w:val="left" w:pos="2520"/>
              </w:tabs>
              <w:spacing w:line="360" w:lineRule="auto"/>
              <w:rPr>
                <w:rFonts w:hint="eastAsia" w:ascii="宋体" w:cs="宋体"/>
                <w:kern w:val="0"/>
                <w:sz w:val="21"/>
                <w:szCs w:val="21"/>
                <w:highlight w:val="none"/>
                <w:lang w:val="en-US" w:eastAsia="zh-CN"/>
              </w:rPr>
            </w:pPr>
            <w:r>
              <w:rPr>
                <w:rFonts w:hint="eastAsia" w:ascii="宋体" w:eastAsia="宋体" w:cs="宋体"/>
                <w:kern w:val="0"/>
                <w:sz w:val="21"/>
                <w:szCs w:val="21"/>
                <w:highlight w:val="none"/>
              </w:rPr>
              <w:t>1.</w:t>
            </w:r>
            <w:r>
              <w:rPr>
                <w:rFonts w:hint="eastAsia" w:ascii="宋体" w:cs="宋体"/>
                <w:kern w:val="0"/>
                <w:sz w:val="21"/>
                <w:szCs w:val="21"/>
                <w:highlight w:val="none"/>
                <w:lang w:val="en-US" w:eastAsia="zh-CN"/>
              </w:rPr>
              <w:t>总体要求：</w:t>
            </w:r>
          </w:p>
          <w:p w14:paraId="0A3C18B8">
            <w:pPr>
              <w:tabs>
                <w:tab w:val="left" w:pos="2520"/>
              </w:tabs>
              <w:spacing w:line="360" w:lineRule="auto"/>
              <w:rPr>
                <w:rFonts w:hint="eastAsia" w:ascii="宋体" w:eastAsia="宋体" w:cs="宋体"/>
                <w:kern w:val="0"/>
                <w:sz w:val="21"/>
                <w:szCs w:val="21"/>
                <w:highlight w:val="none"/>
              </w:rPr>
            </w:pPr>
            <w:r>
              <w:rPr>
                <w:rFonts w:hint="eastAsia" w:ascii="宋体" w:eastAsia="宋体" w:cs="宋体"/>
                <w:bCs/>
                <w:sz w:val="21"/>
                <w:szCs w:val="21"/>
                <w:highlight w:val="none"/>
              </w:rPr>
              <w:t>公务艇</w:t>
            </w:r>
            <w:r>
              <w:rPr>
                <w:rFonts w:hint="eastAsia" w:ascii="宋体" w:eastAsia="宋体" w:cs="宋体"/>
                <w:kern w:val="0"/>
                <w:sz w:val="21"/>
                <w:szCs w:val="21"/>
                <w:highlight w:val="none"/>
              </w:rPr>
              <w:t>为前倾式艏柱，单体，折角深 V 滑行艇船型。</w:t>
            </w:r>
            <w:r>
              <w:rPr>
                <w:rFonts w:hint="eastAsia" w:ascii="宋体" w:cs="宋体"/>
                <w:bCs/>
                <w:sz w:val="21"/>
                <w:szCs w:val="21"/>
                <w:highlight w:val="none"/>
                <w:lang w:val="en-US" w:eastAsia="zh-CN"/>
              </w:rPr>
              <w:t>船艇类型</w:t>
            </w:r>
            <w:r>
              <w:rPr>
                <w:rFonts w:hint="eastAsia" w:ascii="宋体" w:eastAsia="宋体" w:cs="宋体"/>
                <w:kern w:val="0"/>
                <w:sz w:val="21"/>
                <w:szCs w:val="21"/>
                <w:highlight w:val="none"/>
              </w:rPr>
              <w:t>为半蓬</w:t>
            </w:r>
            <w:r>
              <w:rPr>
                <w:rFonts w:hint="eastAsia" w:ascii="宋体" w:eastAsia="宋体" w:cs="宋体"/>
                <w:sz w:val="21"/>
                <w:szCs w:val="21"/>
                <w:highlight w:val="none"/>
              </w:rPr>
              <w:t>敞开艇</w:t>
            </w:r>
            <w:r>
              <w:rPr>
                <w:rFonts w:hint="eastAsia" w:ascii="宋体" w:cs="宋体"/>
                <w:sz w:val="21"/>
                <w:szCs w:val="21"/>
                <w:highlight w:val="none"/>
                <w:lang w:eastAsia="zh-CN"/>
              </w:rPr>
              <w:t>，</w:t>
            </w:r>
            <w:r>
              <w:rPr>
                <w:rFonts w:hint="eastAsia" w:ascii="宋体" w:eastAsia="宋体" w:cs="宋体"/>
                <w:kern w:val="0"/>
                <w:sz w:val="21"/>
                <w:szCs w:val="21"/>
                <w:highlight w:val="none"/>
              </w:rPr>
              <w:t>采用汽油舷外挂机驱动；全艇为全焊接铝合金结构，船用铝合金（5083-H116、6082-T6）。</w:t>
            </w:r>
          </w:p>
        </w:tc>
      </w:tr>
      <w:tr w14:paraId="40ADC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trPr>
        <w:tc>
          <w:tcPr>
            <w:tcW w:w="707" w:type="dxa"/>
            <w:vMerge w:val="continue"/>
          </w:tcPr>
          <w:p w14:paraId="18FA68C0"/>
        </w:tc>
        <w:tc>
          <w:tcPr>
            <w:tcW w:w="1292" w:type="dxa"/>
            <w:vMerge w:val="continue"/>
          </w:tcPr>
          <w:p w14:paraId="65241DFD"/>
        </w:tc>
        <w:tc>
          <w:tcPr>
            <w:tcW w:w="6875" w:type="dxa"/>
          </w:tcPr>
          <w:p w14:paraId="132DABDF">
            <w:pPr>
              <w:spacing w:line="360" w:lineRule="auto"/>
              <w:rPr>
                <w:rFonts w:hint="eastAsia" w:ascii="宋体" w:eastAsia="宋体" w:cs="宋体"/>
                <w:b/>
                <w:bCs/>
                <w:kern w:val="0"/>
                <w:sz w:val="21"/>
                <w:szCs w:val="21"/>
                <w:highlight w:val="yellow"/>
              </w:rPr>
            </w:pPr>
            <w:r>
              <w:rPr>
                <w:rFonts w:hint="eastAsia" w:ascii="宋体" w:eastAsia="宋体" w:cs="宋体"/>
                <w:b/>
                <w:bCs/>
                <w:kern w:val="0"/>
                <w:sz w:val="21"/>
                <w:szCs w:val="21"/>
                <w:highlight w:val="yellow"/>
              </w:rPr>
              <w:t>★1.1主要尺度及线型要素</w:t>
            </w:r>
          </w:p>
          <w:p w14:paraId="1489E284">
            <w:pPr>
              <w:spacing w:line="360" w:lineRule="auto"/>
              <w:rPr>
                <w:rFonts w:hint="eastAsia" w:ascii="宋体" w:eastAsia="宋体" w:cs="宋体"/>
                <w:b/>
                <w:bCs/>
                <w:sz w:val="21"/>
                <w:szCs w:val="21"/>
                <w:highlight w:val="yellow"/>
              </w:rPr>
            </w:pPr>
            <w:r>
              <w:rPr>
                <w:rFonts w:hint="eastAsia" w:ascii="宋体" w:eastAsia="宋体" w:cs="宋体"/>
                <w:b/>
                <w:bCs/>
                <w:sz w:val="21"/>
                <w:szCs w:val="21"/>
                <w:highlight w:val="yellow"/>
              </w:rPr>
              <w:t>（</w:t>
            </w:r>
            <w:r>
              <w:rPr>
                <w:rFonts w:hint="eastAsia" w:ascii="宋体" w:cs="宋体"/>
                <w:b/>
                <w:bCs/>
                <w:sz w:val="21"/>
                <w:szCs w:val="21"/>
                <w:highlight w:val="yellow"/>
                <w:lang w:val="en-US" w:eastAsia="zh-CN"/>
              </w:rPr>
              <w:t>1</w:t>
            </w:r>
            <w:r>
              <w:rPr>
                <w:rFonts w:hint="eastAsia" w:ascii="宋体" w:eastAsia="宋体" w:cs="宋体"/>
                <w:b/>
                <w:bCs/>
                <w:sz w:val="21"/>
                <w:szCs w:val="21"/>
                <w:highlight w:val="yellow"/>
              </w:rPr>
              <w:t>）</w:t>
            </w:r>
            <w:r>
              <w:rPr>
                <w:rFonts w:hint="eastAsia" w:ascii="宋体" w:eastAsia="宋体" w:cs="宋体"/>
                <w:b/>
                <w:bCs/>
                <w:kern w:val="0"/>
                <w:sz w:val="21"/>
                <w:szCs w:val="21"/>
                <w:highlight w:val="yellow"/>
              </w:rPr>
              <w:t>总长：11.00米-12.50米；船宽：3.00米-3.30米；型深：1.5米-1.7米</w:t>
            </w:r>
            <w:r>
              <w:rPr>
                <w:rFonts w:hint="eastAsia" w:ascii="宋体" w:cs="宋体"/>
                <w:b/>
                <w:bCs/>
                <w:kern w:val="0"/>
                <w:sz w:val="21"/>
                <w:szCs w:val="21"/>
                <w:highlight w:val="yellow"/>
                <w:lang w:val="en-US" w:eastAsia="zh-CN"/>
              </w:rPr>
              <w:t>(以上范围内任意值均可，但不包含突出物的长度）</w:t>
            </w:r>
            <w:r>
              <w:rPr>
                <w:rFonts w:hint="eastAsia" w:ascii="宋体" w:eastAsia="宋体" w:cs="宋体"/>
                <w:b/>
                <w:bCs/>
                <w:kern w:val="0"/>
                <w:sz w:val="21"/>
                <w:szCs w:val="21"/>
                <w:highlight w:val="yellow"/>
              </w:rPr>
              <w:t>；用于承担海域内海事公务巡逻、海上救援、突发事件应急响应与处置等综合执法任务执行海岸辖区内水上维权执法、海事管理、应急救援等任务。适用于沿海平静水域日间、夜间航行要求。</w:t>
            </w:r>
          </w:p>
          <w:p w14:paraId="454D7F1E">
            <w:pPr>
              <w:spacing w:line="360" w:lineRule="auto"/>
              <w:rPr>
                <w:rFonts w:hint="eastAsia" w:ascii="宋体" w:eastAsia="宋体" w:cs="宋体"/>
                <w:b/>
                <w:bCs/>
                <w:sz w:val="21"/>
                <w:szCs w:val="21"/>
                <w:highlight w:val="yellow"/>
              </w:rPr>
            </w:pPr>
            <w:r>
              <w:rPr>
                <w:rFonts w:hint="eastAsia" w:ascii="宋体" w:cs="宋体"/>
                <w:b/>
                <w:bCs/>
                <w:kern w:val="0"/>
                <w:sz w:val="21"/>
                <w:szCs w:val="21"/>
                <w:highlight w:val="yellow"/>
                <w:lang w:eastAsia="zh-CN"/>
              </w:rPr>
              <w:t>（</w:t>
            </w:r>
            <w:r>
              <w:rPr>
                <w:rFonts w:hint="eastAsia" w:ascii="宋体" w:cs="宋体"/>
                <w:b/>
                <w:bCs/>
                <w:kern w:val="0"/>
                <w:sz w:val="21"/>
                <w:szCs w:val="21"/>
                <w:highlight w:val="yellow"/>
                <w:lang w:val="en-US" w:eastAsia="zh-CN"/>
              </w:rPr>
              <w:t>2</w:t>
            </w:r>
            <w:r>
              <w:rPr>
                <w:rFonts w:hint="eastAsia" w:ascii="宋体" w:cs="宋体"/>
                <w:b/>
                <w:bCs/>
                <w:kern w:val="0"/>
                <w:sz w:val="21"/>
                <w:szCs w:val="21"/>
                <w:highlight w:val="yellow"/>
                <w:lang w:eastAsia="zh-CN"/>
              </w:rPr>
              <w:t>）</w:t>
            </w:r>
            <w:r>
              <w:rPr>
                <w:rFonts w:hint="eastAsia" w:ascii="宋体" w:eastAsia="宋体" w:cs="宋体"/>
                <w:b/>
                <w:bCs/>
                <w:kern w:val="0"/>
                <w:sz w:val="21"/>
                <w:szCs w:val="21"/>
                <w:highlight w:val="yellow"/>
              </w:rPr>
              <w:t>满载吃水：0.50米～0.80米</w:t>
            </w:r>
            <w:r>
              <w:rPr>
                <w:rFonts w:hint="eastAsia"/>
                <w:b/>
                <w:bCs/>
                <w:highlight w:val="yellow"/>
              </w:rPr>
              <w:t>（以上范围内任意值均可）</w:t>
            </w:r>
            <w:r>
              <w:rPr>
                <w:rFonts w:hint="eastAsia" w:ascii="宋体" w:eastAsia="宋体" w:cs="宋体"/>
                <w:b/>
                <w:bCs/>
                <w:kern w:val="0"/>
                <w:sz w:val="21"/>
                <w:szCs w:val="21"/>
                <w:highlight w:val="yellow"/>
              </w:rPr>
              <w:t>。</w:t>
            </w:r>
          </w:p>
          <w:p w14:paraId="0C1D5E1E">
            <w:pPr>
              <w:spacing w:line="360" w:lineRule="auto"/>
              <w:rPr>
                <w:rFonts w:hint="eastAsia" w:ascii="宋体" w:eastAsia="宋体" w:cs="宋体"/>
                <w:b/>
                <w:bCs/>
                <w:sz w:val="21"/>
                <w:szCs w:val="21"/>
                <w:highlight w:val="yellow"/>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3</w:t>
            </w:r>
            <w:r>
              <w:rPr>
                <w:rFonts w:hint="eastAsia" w:ascii="宋体" w:eastAsia="宋体" w:cs="宋体"/>
                <w:b/>
                <w:bCs/>
                <w:kern w:val="0"/>
                <w:sz w:val="21"/>
                <w:szCs w:val="21"/>
                <w:highlight w:val="yellow"/>
              </w:rPr>
              <w:t>）排水量：</w:t>
            </w:r>
            <w:r>
              <w:rPr>
                <w:rFonts w:hint="eastAsia" w:ascii="宋体" w:cs="宋体"/>
                <w:b/>
                <w:bCs/>
                <w:kern w:val="0"/>
                <w:sz w:val="21"/>
                <w:szCs w:val="21"/>
                <w:highlight w:val="yellow"/>
                <w:lang w:val="en-US" w:eastAsia="zh-CN"/>
              </w:rPr>
              <w:t>6</w:t>
            </w:r>
            <w:r>
              <w:rPr>
                <w:rFonts w:hint="eastAsia" w:ascii="宋体" w:eastAsia="宋体" w:cs="宋体"/>
                <w:b/>
                <w:bCs/>
                <w:kern w:val="0"/>
                <w:sz w:val="21"/>
                <w:szCs w:val="21"/>
                <w:highlight w:val="yellow"/>
              </w:rPr>
              <w:t>-9吨</w:t>
            </w:r>
            <w:r>
              <w:rPr>
                <w:rFonts w:hint="eastAsia"/>
                <w:b/>
                <w:bCs/>
                <w:highlight w:val="yellow"/>
              </w:rPr>
              <w:t>（以上范围内任意值均可）</w:t>
            </w:r>
            <w:r>
              <w:rPr>
                <w:rFonts w:hint="eastAsia" w:ascii="宋体" w:eastAsia="宋体" w:cs="宋体"/>
                <w:b/>
                <w:bCs/>
                <w:kern w:val="0"/>
                <w:sz w:val="21"/>
                <w:szCs w:val="21"/>
                <w:highlight w:val="yellow"/>
              </w:rPr>
              <w:t>。</w:t>
            </w:r>
          </w:p>
          <w:p w14:paraId="659604AF">
            <w:pPr>
              <w:spacing w:line="360" w:lineRule="auto"/>
              <w:rPr>
                <w:rFonts w:hint="eastAsia" w:ascii="宋体" w:eastAsia="宋体" w:cs="宋体"/>
                <w:b/>
                <w:bCs/>
                <w:sz w:val="21"/>
                <w:szCs w:val="21"/>
                <w:highlight w:val="yellow"/>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4</w:t>
            </w:r>
            <w:r>
              <w:rPr>
                <w:rFonts w:hint="eastAsia" w:ascii="宋体" w:eastAsia="宋体" w:cs="宋体"/>
                <w:b/>
                <w:bCs/>
                <w:kern w:val="0"/>
                <w:sz w:val="21"/>
                <w:szCs w:val="21"/>
                <w:highlight w:val="yellow"/>
              </w:rPr>
              <w:t>）定员：7人（船员2人，乘员5人）。</w:t>
            </w:r>
          </w:p>
          <w:p w14:paraId="04FE7091">
            <w:pPr>
              <w:spacing w:line="360" w:lineRule="auto"/>
              <w:rPr>
                <w:rFonts w:hint="eastAsia" w:ascii="宋体" w:eastAsia="宋体" w:cs="宋体"/>
                <w:b/>
                <w:bCs/>
                <w:sz w:val="21"/>
                <w:szCs w:val="21"/>
                <w:highlight w:val="yellow"/>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5</w:t>
            </w:r>
            <w:r>
              <w:rPr>
                <w:rFonts w:hint="eastAsia" w:ascii="宋体" w:eastAsia="宋体" w:cs="宋体"/>
                <w:b/>
                <w:bCs/>
                <w:kern w:val="0"/>
                <w:sz w:val="21"/>
                <w:szCs w:val="21"/>
                <w:highlight w:val="yellow"/>
              </w:rPr>
              <w:t>）燃油：</w:t>
            </w:r>
            <w:r>
              <w:rPr>
                <w:rFonts w:hint="eastAsia" w:ascii="宋体" w:cs="宋体"/>
                <w:b/>
                <w:bCs/>
                <w:kern w:val="0"/>
                <w:sz w:val="21"/>
                <w:szCs w:val="21"/>
                <w:highlight w:val="yellow"/>
                <w:lang w:val="en-US" w:eastAsia="zh-CN"/>
              </w:rPr>
              <w:t>不小于12</w:t>
            </w:r>
            <w:r>
              <w:rPr>
                <w:rFonts w:hint="eastAsia" w:ascii="宋体" w:eastAsia="宋体" w:cs="宋体"/>
                <w:b/>
                <w:bCs/>
                <w:kern w:val="0"/>
                <w:sz w:val="21"/>
                <w:szCs w:val="21"/>
                <w:highlight w:val="yellow"/>
              </w:rPr>
              <w:t>00升。</w:t>
            </w:r>
          </w:p>
          <w:p w14:paraId="7A887576">
            <w:pPr>
              <w:spacing w:line="360" w:lineRule="auto"/>
              <w:rPr>
                <w:rFonts w:hint="eastAsia" w:ascii="宋体" w:eastAsia="宋体" w:cs="宋体"/>
                <w:b/>
                <w:bCs/>
                <w:sz w:val="21"/>
                <w:szCs w:val="21"/>
                <w:highlight w:val="yellow"/>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6</w:t>
            </w:r>
            <w:r>
              <w:rPr>
                <w:rFonts w:hint="eastAsia" w:ascii="宋体" w:eastAsia="宋体" w:cs="宋体"/>
                <w:b/>
                <w:bCs/>
                <w:kern w:val="0"/>
                <w:sz w:val="21"/>
                <w:szCs w:val="21"/>
                <w:highlight w:val="yellow"/>
              </w:rPr>
              <w:t>）在正常排水量状态，静水中，风力不大于蒲氏3级，船艇主机以最大转速运行时，最高航速不低于40节（74km/h）。</w:t>
            </w:r>
          </w:p>
          <w:p w14:paraId="704BEA93">
            <w:pPr>
              <w:spacing w:line="360" w:lineRule="auto"/>
              <w:rPr>
                <w:rFonts w:hint="eastAsia" w:ascii="宋体" w:eastAsia="宋体" w:cs="宋体"/>
                <w:b/>
                <w:bCs/>
                <w:sz w:val="21"/>
                <w:szCs w:val="21"/>
                <w:highlight w:val="yellow"/>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7</w:t>
            </w:r>
            <w:r>
              <w:rPr>
                <w:rFonts w:hint="eastAsia" w:ascii="宋体" w:eastAsia="宋体" w:cs="宋体"/>
                <w:b/>
                <w:bCs/>
                <w:kern w:val="0"/>
                <w:sz w:val="21"/>
                <w:szCs w:val="21"/>
                <w:highlight w:val="yellow"/>
              </w:rPr>
              <w:t>）巡航速度：</w:t>
            </w:r>
            <w:r>
              <w:rPr>
                <w:rFonts w:hint="eastAsia" w:ascii="宋体" w:cs="宋体"/>
                <w:b/>
                <w:bCs/>
                <w:kern w:val="0"/>
                <w:sz w:val="21"/>
                <w:szCs w:val="21"/>
                <w:highlight w:val="yellow"/>
                <w:lang w:val="en-US" w:eastAsia="zh-CN"/>
              </w:rPr>
              <w:t>不小于25</w:t>
            </w:r>
            <w:r>
              <w:rPr>
                <w:rFonts w:hint="eastAsia" w:ascii="宋体" w:eastAsia="宋体" w:cs="宋体"/>
                <w:b/>
                <w:bCs/>
                <w:kern w:val="0"/>
                <w:sz w:val="21"/>
                <w:szCs w:val="21"/>
                <w:highlight w:val="yellow"/>
              </w:rPr>
              <w:t>0节。</w:t>
            </w:r>
          </w:p>
          <w:p w14:paraId="500A6B2C">
            <w:pPr>
              <w:spacing w:line="360" w:lineRule="auto"/>
              <w:rPr>
                <w:rFonts w:hint="eastAsia" w:ascii="宋体" w:eastAsia="宋体" w:cs="宋体"/>
                <w:kern w:val="0"/>
                <w:sz w:val="21"/>
                <w:szCs w:val="21"/>
                <w:highlight w:val="none"/>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8</w:t>
            </w:r>
            <w:r>
              <w:rPr>
                <w:rFonts w:hint="eastAsia" w:ascii="宋体" w:eastAsia="宋体" w:cs="宋体"/>
                <w:b/>
                <w:bCs/>
                <w:kern w:val="0"/>
                <w:sz w:val="21"/>
                <w:szCs w:val="21"/>
                <w:highlight w:val="yellow"/>
              </w:rPr>
              <w:t>）在满载排水量（满油）状态下，以巡航速度航行时，续航力不小于150海里（250公里）。</w:t>
            </w:r>
          </w:p>
        </w:tc>
      </w:tr>
      <w:tr w14:paraId="55CA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707" w:type="dxa"/>
            <w:vMerge w:val="continue"/>
          </w:tcPr>
          <w:p w14:paraId="5B87DBD8"/>
        </w:tc>
        <w:tc>
          <w:tcPr>
            <w:tcW w:w="1292" w:type="dxa"/>
            <w:vMerge w:val="continue"/>
          </w:tcPr>
          <w:p w14:paraId="49752078"/>
        </w:tc>
        <w:tc>
          <w:tcPr>
            <w:tcW w:w="6875" w:type="dxa"/>
          </w:tcPr>
          <w:p w14:paraId="7A892144">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1.2航区：适航于</w:t>
            </w:r>
            <w:r>
              <w:rPr>
                <w:rFonts w:hint="eastAsia" w:ascii="宋体" w:cs="宋体"/>
                <w:kern w:val="0"/>
                <w:sz w:val="21"/>
                <w:szCs w:val="21"/>
                <w:highlight w:val="none"/>
                <w:lang w:val="en-US" w:eastAsia="zh-CN"/>
              </w:rPr>
              <w:t>我国</w:t>
            </w:r>
            <w:r>
              <w:rPr>
                <w:rFonts w:hint="eastAsia" w:ascii="宋体" w:eastAsia="宋体" w:cs="宋体"/>
                <w:kern w:val="0"/>
                <w:sz w:val="21"/>
                <w:szCs w:val="21"/>
                <w:highlight w:val="none"/>
              </w:rPr>
              <w:t>平静水域。</w:t>
            </w:r>
          </w:p>
        </w:tc>
      </w:tr>
      <w:tr w14:paraId="210F2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707" w:type="dxa"/>
            <w:vMerge w:val="continue"/>
          </w:tcPr>
          <w:p w14:paraId="65F056E0"/>
        </w:tc>
        <w:tc>
          <w:tcPr>
            <w:tcW w:w="1292" w:type="dxa"/>
            <w:vMerge w:val="continue"/>
          </w:tcPr>
          <w:p w14:paraId="00438037"/>
        </w:tc>
        <w:tc>
          <w:tcPr>
            <w:tcW w:w="6875" w:type="dxa"/>
          </w:tcPr>
          <w:p w14:paraId="1BE138B6">
            <w:pPr>
              <w:spacing w:line="360" w:lineRule="auto"/>
              <w:rPr>
                <w:rFonts w:hint="eastAsia" w:ascii="宋体" w:eastAsia="宋体" w:cs="宋体"/>
                <w:b w:val="0"/>
                <w:bCs w:val="0"/>
                <w:kern w:val="0"/>
                <w:sz w:val="21"/>
                <w:szCs w:val="21"/>
                <w:highlight w:val="none"/>
              </w:rPr>
            </w:pPr>
            <w:r>
              <w:rPr>
                <w:rFonts w:hint="eastAsia" w:ascii="宋体" w:eastAsia="宋体" w:cs="宋体"/>
                <w:b w:val="0"/>
                <w:bCs w:val="0"/>
                <w:kern w:val="0"/>
                <w:sz w:val="21"/>
                <w:szCs w:val="21"/>
                <w:highlight w:val="none"/>
              </w:rPr>
              <w:t>1.3续航力、航速：</w:t>
            </w:r>
          </w:p>
          <w:p w14:paraId="102EACB3">
            <w:pPr>
              <w:spacing w:line="360" w:lineRule="auto"/>
              <w:rPr>
                <w:rFonts w:hint="eastAsia" w:ascii="宋体" w:eastAsia="宋体" w:cs="宋体"/>
                <w:b w:val="0"/>
                <w:bCs w:val="0"/>
                <w:kern w:val="0"/>
                <w:sz w:val="21"/>
                <w:szCs w:val="21"/>
                <w:highlight w:val="none"/>
              </w:rPr>
            </w:pPr>
            <w:r>
              <w:rPr>
                <w:rFonts w:hint="eastAsia" w:ascii="宋体" w:eastAsia="宋体" w:cs="宋体"/>
                <w:b w:val="0"/>
                <w:bCs w:val="0"/>
                <w:kern w:val="0"/>
                <w:sz w:val="21"/>
                <w:szCs w:val="21"/>
                <w:highlight w:val="none"/>
              </w:rPr>
              <w:t>续航力：</w:t>
            </w:r>
            <w:r>
              <w:rPr>
                <w:rFonts w:hint="eastAsia" w:ascii="宋体" w:cs="宋体"/>
                <w:b w:val="0"/>
                <w:bCs w:val="0"/>
                <w:kern w:val="0"/>
                <w:sz w:val="21"/>
                <w:szCs w:val="21"/>
                <w:highlight w:val="none"/>
                <w:lang w:val="en-US" w:eastAsia="zh-CN"/>
              </w:rPr>
              <w:t>公务艇</w:t>
            </w:r>
            <w:r>
              <w:rPr>
                <w:rFonts w:hint="eastAsia" w:ascii="宋体" w:eastAsia="宋体" w:cs="宋体"/>
                <w:b w:val="0"/>
                <w:bCs w:val="0"/>
                <w:kern w:val="0"/>
                <w:sz w:val="21"/>
                <w:szCs w:val="21"/>
                <w:highlight w:val="none"/>
              </w:rPr>
              <w:t>以巡航（经济）航速航行时，其续航力不小于150海里（250公里）</w:t>
            </w:r>
          </w:p>
          <w:p w14:paraId="3B831B3C">
            <w:pPr>
              <w:spacing w:line="360" w:lineRule="auto"/>
              <w:rPr>
                <w:rFonts w:hint="eastAsia" w:ascii="宋体" w:eastAsia="宋体" w:cs="宋体"/>
                <w:kern w:val="0"/>
                <w:sz w:val="21"/>
                <w:szCs w:val="21"/>
                <w:highlight w:val="none"/>
              </w:rPr>
            </w:pPr>
            <w:r>
              <w:rPr>
                <w:rFonts w:hint="eastAsia" w:ascii="宋体" w:eastAsia="宋体" w:cs="宋体"/>
                <w:b w:val="0"/>
                <w:bCs w:val="0"/>
                <w:kern w:val="0"/>
                <w:sz w:val="21"/>
                <w:szCs w:val="21"/>
                <w:highlight w:val="none"/>
              </w:rPr>
              <w:t>航  速：</w:t>
            </w:r>
            <w:r>
              <w:rPr>
                <w:rFonts w:hint="eastAsia" w:ascii="宋体" w:cs="宋体"/>
                <w:b w:val="0"/>
                <w:bCs w:val="0"/>
                <w:kern w:val="0"/>
                <w:sz w:val="21"/>
                <w:szCs w:val="21"/>
                <w:highlight w:val="none"/>
                <w:lang w:val="en-US" w:eastAsia="zh-CN"/>
              </w:rPr>
              <w:t>公务艇</w:t>
            </w:r>
            <w:r>
              <w:rPr>
                <w:rFonts w:hint="eastAsia" w:ascii="宋体" w:eastAsia="宋体" w:cs="宋体"/>
                <w:b w:val="0"/>
                <w:bCs w:val="0"/>
                <w:kern w:val="0"/>
                <w:sz w:val="21"/>
                <w:szCs w:val="21"/>
                <w:highlight w:val="none"/>
              </w:rPr>
              <w:t>在满载排水量时，主机额定功率、平静海况、水深大于3米，最大试航速度不低于40节（74km/h）。</w:t>
            </w:r>
          </w:p>
        </w:tc>
      </w:tr>
      <w:tr w14:paraId="55856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707" w:type="dxa"/>
            <w:vMerge w:val="continue"/>
          </w:tcPr>
          <w:p w14:paraId="27D726D7"/>
        </w:tc>
        <w:tc>
          <w:tcPr>
            <w:tcW w:w="1292" w:type="dxa"/>
            <w:vMerge w:val="continue"/>
          </w:tcPr>
          <w:p w14:paraId="39B8C7C6"/>
        </w:tc>
        <w:tc>
          <w:tcPr>
            <w:tcW w:w="6875" w:type="dxa"/>
          </w:tcPr>
          <w:p w14:paraId="3C816287">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1.4完整稳性和抗风能力：</w:t>
            </w: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需求的完整稳性满足中华人民共和国海事局《国内航行小型海船技术规则》（2024）对沿海航区平静水域之要求。</w:t>
            </w:r>
          </w:p>
        </w:tc>
      </w:tr>
      <w:tr w14:paraId="53593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7" w:type="dxa"/>
            <w:vMerge w:val="continue"/>
          </w:tcPr>
          <w:p w14:paraId="70DDE671"/>
        </w:tc>
        <w:tc>
          <w:tcPr>
            <w:tcW w:w="1292" w:type="dxa"/>
            <w:vMerge w:val="continue"/>
          </w:tcPr>
          <w:p w14:paraId="78F11C1E"/>
        </w:tc>
        <w:tc>
          <w:tcPr>
            <w:tcW w:w="6875" w:type="dxa"/>
          </w:tcPr>
          <w:p w14:paraId="5955D111">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1.5不沉性：</w:t>
            </w: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需求的不沉性应满足中华人民共和国海事局《国内航行小型海船技术规则》（2024）对不沉性的要求。</w:t>
            </w:r>
          </w:p>
        </w:tc>
      </w:tr>
      <w:tr w14:paraId="09770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07" w:type="dxa"/>
            <w:vMerge w:val="continue"/>
          </w:tcPr>
          <w:p w14:paraId="09900457"/>
        </w:tc>
        <w:tc>
          <w:tcPr>
            <w:tcW w:w="1292" w:type="dxa"/>
            <w:vMerge w:val="continue"/>
          </w:tcPr>
          <w:p w14:paraId="18913A22"/>
        </w:tc>
        <w:tc>
          <w:tcPr>
            <w:tcW w:w="6875" w:type="dxa"/>
          </w:tcPr>
          <w:p w14:paraId="1E1C7484">
            <w:pPr>
              <w:numPr>
                <w:ilvl w:val="0"/>
                <w:numId w:val="10"/>
              </w:num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总布置：</w:t>
            </w:r>
          </w:p>
          <w:p w14:paraId="7CECD8AB">
            <w:pPr>
              <w:spacing w:line="360" w:lineRule="auto"/>
              <w:rPr>
                <w:rFonts w:hint="eastAsia" w:ascii="宋体" w:eastAsia="宋体" w:cs="宋体"/>
                <w:kern w:val="0"/>
                <w:sz w:val="21"/>
                <w:szCs w:val="21"/>
                <w:highlight w:val="none"/>
              </w:rPr>
            </w:pP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系自艏至艉连续甲板的敞开艇。</w:t>
            </w:r>
          </w:p>
        </w:tc>
      </w:tr>
      <w:tr w14:paraId="18984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 w:hRule="atLeast"/>
        </w:trPr>
        <w:tc>
          <w:tcPr>
            <w:tcW w:w="707" w:type="dxa"/>
            <w:vMerge w:val="continue"/>
          </w:tcPr>
          <w:p w14:paraId="5C2BB624"/>
        </w:tc>
        <w:tc>
          <w:tcPr>
            <w:tcW w:w="1292" w:type="dxa"/>
            <w:vMerge w:val="continue"/>
          </w:tcPr>
          <w:p w14:paraId="24FFE5B6"/>
        </w:tc>
        <w:tc>
          <w:tcPr>
            <w:tcW w:w="6875" w:type="dxa"/>
          </w:tcPr>
          <w:p w14:paraId="1F61614A">
            <w:pPr>
              <w:spacing w:line="360" w:lineRule="auto"/>
              <w:rPr>
                <w:rFonts w:hint="eastAsia" w:ascii="宋体" w:eastAsia="宋体" w:cs="宋体"/>
                <w:kern w:val="0"/>
                <w:sz w:val="21"/>
                <w:szCs w:val="21"/>
                <w:highlight w:val="none"/>
              </w:rPr>
            </w:pPr>
            <w:r>
              <w:rPr>
                <w:rFonts w:ascii="宋体" w:eastAsia="宋体"/>
                <w:b/>
                <w:bCs/>
                <w:color w:val="auto"/>
                <w:szCs w:val="21"/>
              </w:rPr>
              <w:t>▲</w:t>
            </w:r>
            <w:r>
              <w:rPr>
                <w:rFonts w:hint="eastAsia" w:ascii="宋体" w:eastAsia="宋体" w:cs="宋体"/>
                <w:b/>
                <w:bCs/>
                <w:kern w:val="0"/>
                <w:sz w:val="21"/>
                <w:szCs w:val="21"/>
                <w:highlight w:val="none"/>
              </w:rPr>
              <w:t>2.1主艇体：（1）艇体和甲板间由四道水密舱壁和一道普通舱壁划分为6个舱室，由艉至艏依此为：尾舱、燃油舱、乘员驾驶舱（半蓬带挡风玻璃）、艏舱和艏尖舱。</w:t>
            </w:r>
          </w:p>
        </w:tc>
      </w:tr>
      <w:tr w14:paraId="05DD0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7" w:type="dxa"/>
            <w:vMerge w:val="continue"/>
          </w:tcPr>
          <w:p w14:paraId="0B24CA87"/>
        </w:tc>
        <w:tc>
          <w:tcPr>
            <w:tcW w:w="1292" w:type="dxa"/>
            <w:vMerge w:val="continue"/>
          </w:tcPr>
          <w:p w14:paraId="0A4F0C8E"/>
        </w:tc>
        <w:tc>
          <w:tcPr>
            <w:tcW w:w="6875" w:type="dxa"/>
          </w:tcPr>
          <w:p w14:paraId="013BBCB2">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2.2甲板室</w:t>
            </w:r>
          </w:p>
          <w:p w14:paraId="6715E5F2">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（1）乘员室及驾驶室内净空高不低于1.75米，</w:t>
            </w: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甲板室为半蓬乘员驾驶舱，正副驾驶位置采用可调节座椅，驾驶舱后排两侧采用减震骑马座椅。舱室内中间设有通道。</w:t>
            </w:r>
          </w:p>
        </w:tc>
      </w:tr>
      <w:tr w14:paraId="34AB6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707" w:type="dxa"/>
            <w:vMerge w:val="continue"/>
          </w:tcPr>
          <w:p w14:paraId="0D68EB3B"/>
        </w:tc>
        <w:tc>
          <w:tcPr>
            <w:tcW w:w="1292" w:type="dxa"/>
            <w:vMerge w:val="continue"/>
          </w:tcPr>
          <w:p w14:paraId="39348635"/>
        </w:tc>
        <w:tc>
          <w:tcPr>
            <w:tcW w:w="6875" w:type="dxa"/>
          </w:tcPr>
          <w:p w14:paraId="2DED490B">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2.3主甲板面</w:t>
            </w:r>
          </w:p>
          <w:p w14:paraId="787EC2B1">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（1）主甲板舱室两侧设有防滑行走甲板。全船甲板面防滑处理。</w:t>
            </w:r>
          </w:p>
          <w:p w14:paraId="103C1DE5">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（2）甲板艉部设舱口盖，设缆桩、扶栏、旗杆和尾平台等。</w:t>
            </w:r>
          </w:p>
          <w:p w14:paraId="7C1EE910">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（3）甲板舯部为甲板室，两侧设外通道、缆桩、扶栏。</w:t>
            </w:r>
          </w:p>
          <w:p w14:paraId="1AC69ECA">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（4）甲板艏部设艏舱盖、缆桩、扶栏、旗杆。</w:t>
            </w:r>
          </w:p>
        </w:tc>
      </w:tr>
      <w:tr w14:paraId="5DE98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trPr>
        <w:tc>
          <w:tcPr>
            <w:tcW w:w="707" w:type="dxa"/>
            <w:vMerge w:val="continue"/>
          </w:tcPr>
          <w:p w14:paraId="21E47EA5"/>
        </w:tc>
        <w:tc>
          <w:tcPr>
            <w:tcW w:w="1292" w:type="dxa"/>
            <w:vMerge w:val="continue"/>
          </w:tcPr>
          <w:p w14:paraId="71798D18"/>
        </w:tc>
        <w:tc>
          <w:tcPr>
            <w:tcW w:w="6875" w:type="dxa"/>
          </w:tcPr>
          <w:p w14:paraId="0D5D6A16">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2.4甲板室顶蓬</w:t>
            </w:r>
          </w:p>
          <w:p w14:paraId="0531B7F1">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顶蓬前端设搜索灯、左右舷灯，顶蓬中后部设铝制桅杆，架上设有雷达天线、避雷针等。</w:t>
            </w:r>
          </w:p>
        </w:tc>
      </w:tr>
      <w:tr w14:paraId="4DB28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7" w:type="dxa"/>
            <w:vMerge w:val="continue"/>
          </w:tcPr>
          <w:p w14:paraId="4569DD6E"/>
        </w:tc>
        <w:tc>
          <w:tcPr>
            <w:tcW w:w="1292" w:type="dxa"/>
            <w:vMerge w:val="continue"/>
          </w:tcPr>
          <w:p w14:paraId="5B666481"/>
        </w:tc>
        <w:tc>
          <w:tcPr>
            <w:tcW w:w="6875" w:type="dxa"/>
          </w:tcPr>
          <w:p w14:paraId="751CE265">
            <w:pPr>
              <w:spacing w:line="360" w:lineRule="auto"/>
              <w:rPr>
                <w:rFonts w:hint="eastAsia" w:ascii="宋体" w:eastAsia="宋体" w:cs="宋体"/>
                <w:b/>
                <w:bCs/>
                <w:kern w:val="0"/>
                <w:sz w:val="21"/>
                <w:szCs w:val="21"/>
                <w:highlight w:val="none"/>
              </w:rPr>
            </w:pPr>
            <w:r>
              <w:rPr>
                <w:rFonts w:ascii="宋体" w:eastAsia="宋体"/>
                <w:b/>
                <w:bCs/>
                <w:color w:val="auto"/>
                <w:szCs w:val="21"/>
              </w:rPr>
              <w:t>▲</w:t>
            </w:r>
            <w:r>
              <w:rPr>
                <w:rFonts w:hint="eastAsia" w:ascii="宋体" w:eastAsia="宋体" w:cs="宋体"/>
                <w:b/>
                <w:bCs/>
                <w:kern w:val="0"/>
                <w:sz w:val="21"/>
                <w:szCs w:val="21"/>
                <w:highlight w:val="none"/>
              </w:rPr>
              <w:t>3.船体结构及材料</w:t>
            </w:r>
          </w:p>
          <w:p w14:paraId="02A0AF59">
            <w:pPr>
              <w:spacing w:line="360" w:lineRule="auto"/>
              <w:rPr>
                <w:rFonts w:hint="eastAsia" w:ascii="宋体" w:eastAsia="宋体" w:cs="宋体"/>
                <w:b/>
                <w:bCs/>
                <w:kern w:val="0"/>
                <w:sz w:val="21"/>
                <w:szCs w:val="21"/>
                <w:highlight w:val="none"/>
              </w:rPr>
            </w:pPr>
            <w:r>
              <w:rPr>
                <w:rFonts w:hint="eastAsia" w:ascii="宋体" w:eastAsia="宋体" w:cs="宋体"/>
                <w:b/>
                <w:bCs/>
                <w:kern w:val="0"/>
                <w:sz w:val="21"/>
                <w:szCs w:val="21"/>
                <w:highlight w:val="none"/>
              </w:rPr>
              <w:t>（1）全艇为全焊接铝合金结构；铝合金板材为5083H116型，铝合金型材为6082T6。</w:t>
            </w:r>
          </w:p>
          <w:p w14:paraId="7D483BFA">
            <w:pPr>
              <w:spacing w:line="360" w:lineRule="auto"/>
              <w:rPr>
                <w:rFonts w:hint="eastAsia" w:ascii="宋体" w:eastAsia="宋体" w:cs="宋体"/>
                <w:kern w:val="0"/>
                <w:sz w:val="21"/>
                <w:szCs w:val="21"/>
                <w:highlight w:val="none"/>
              </w:rPr>
            </w:pPr>
            <w:r>
              <w:rPr>
                <w:rFonts w:hint="eastAsia" w:ascii="宋体" w:eastAsia="宋体" w:cs="宋体"/>
                <w:b/>
                <w:bCs/>
                <w:kern w:val="0"/>
                <w:sz w:val="21"/>
                <w:szCs w:val="21"/>
                <w:highlight w:val="none"/>
              </w:rPr>
              <w:t>（2）</w:t>
            </w:r>
            <w:r>
              <w:rPr>
                <w:rFonts w:hint="eastAsia" w:ascii="宋体" w:cs="宋体"/>
                <w:b/>
                <w:bCs/>
                <w:kern w:val="0"/>
                <w:sz w:val="21"/>
                <w:szCs w:val="21"/>
                <w:highlight w:val="none"/>
                <w:lang w:val="en-US" w:eastAsia="zh-CN"/>
              </w:rPr>
              <w:t>公务艇</w:t>
            </w:r>
            <w:r>
              <w:rPr>
                <w:rFonts w:hint="eastAsia" w:ascii="宋体" w:eastAsia="宋体" w:cs="宋体"/>
                <w:b/>
                <w:bCs/>
                <w:kern w:val="0"/>
                <w:sz w:val="21"/>
                <w:szCs w:val="21"/>
                <w:highlight w:val="none"/>
              </w:rPr>
              <w:t>主艇体为纵骨架式结构。</w:t>
            </w:r>
          </w:p>
        </w:tc>
      </w:tr>
      <w:tr w14:paraId="70E44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2" w:hRule="atLeast"/>
        </w:trPr>
        <w:tc>
          <w:tcPr>
            <w:tcW w:w="707" w:type="dxa"/>
            <w:vMerge w:val="continue"/>
          </w:tcPr>
          <w:p w14:paraId="6A991E56"/>
        </w:tc>
        <w:tc>
          <w:tcPr>
            <w:tcW w:w="1292" w:type="dxa"/>
            <w:vMerge w:val="continue"/>
          </w:tcPr>
          <w:p w14:paraId="77A44007"/>
        </w:tc>
        <w:tc>
          <w:tcPr>
            <w:tcW w:w="6875" w:type="dxa"/>
          </w:tcPr>
          <w:p w14:paraId="67B182D0">
            <w:pPr>
              <w:spacing w:line="360" w:lineRule="auto"/>
              <w:rPr>
                <w:rFonts w:hint="eastAsia" w:ascii="宋体" w:eastAsia="宋体" w:cs="宋体"/>
                <w:b/>
                <w:bCs/>
                <w:kern w:val="0"/>
                <w:sz w:val="21"/>
                <w:szCs w:val="21"/>
                <w:highlight w:val="none"/>
              </w:rPr>
            </w:pPr>
            <w:r>
              <w:rPr>
                <w:rFonts w:ascii="宋体" w:eastAsia="宋体"/>
                <w:b/>
                <w:bCs/>
                <w:color w:val="auto"/>
                <w:szCs w:val="21"/>
              </w:rPr>
              <w:t>▲</w:t>
            </w:r>
            <w:r>
              <w:rPr>
                <w:rFonts w:hint="eastAsia" w:ascii="宋体" w:eastAsia="宋体" w:cs="宋体"/>
                <w:b/>
                <w:bCs/>
                <w:kern w:val="0"/>
                <w:sz w:val="21"/>
                <w:szCs w:val="21"/>
                <w:highlight w:val="none"/>
              </w:rPr>
              <w:t>4.船舶舾装</w:t>
            </w:r>
          </w:p>
          <w:p w14:paraId="3CDBB836">
            <w:pPr>
              <w:spacing w:line="360" w:lineRule="auto"/>
              <w:rPr>
                <w:rFonts w:hint="eastAsia" w:ascii="宋体" w:eastAsia="宋体" w:cs="宋体"/>
                <w:b/>
                <w:bCs/>
                <w:kern w:val="0"/>
                <w:sz w:val="21"/>
                <w:szCs w:val="21"/>
                <w:highlight w:val="none"/>
              </w:rPr>
            </w:pPr>
            <w:r>
              <w:rPr>
                <w:rFonts w:hint="eastAsia" w:ascii="宋体" w:eastAsia="宋体" w:cs="宋体"/>
                <w:b/>
                <w:bCs/>
                <w:kern w:val="0"/>
                <w:sz w:val="21"/>
                <w:szCs w:val="21"/>
                <w:highlight w:val="none"/>
              </w:rPr>
              <w:t>（1）锚设备：船艏配</w:t>
            </w:r>
            <w:r>
              <w:rPr>
                <w:rFonts w:hint="eastAsia" w:ascii="宋体" w:cs="宋体"/>
                <w:b/>
                <w:bCs/>
                <w:kern w:val="0"/>
                <w:sz w:val="21"/>
                <w:szCs w:val="21"/>
                <w:highlight w:val="none"/>
                <w:lang w:val="en-US" w:eastAsia="zh-CN"/>
              </w:rPr>
              <w:t>不小于</w:t>
            </w:r>
            <w:r>
              <w:rPr>
                <w:rFonts w:hint="eastAsia" w:ascii="宋体" w:eastAsia="宋体" w:cs="宋体"/>
                <w:b/>
                <w:bCs/>
                <w:kern w:val="0"/>
                <w:sz w:val="21"/>
                <w:szCs w:val="21"/>
                <w:highlight w:val="none"/>
              </w:rPr>
              <w:t>25kg大抓力锚1口，锚绳选用φ22mm锦纶纤维锚索，长≥84m，航行时置于艏尖舱内。</w:t>
            </w:r>
          </w:p>
          <w:p w14:paraId="1A83354F">
            <w:pPr>
              <w:spacing w:line="360" w:lineRule="auto"/>
              <w:rPr>
                <w:rFonts w:hint="eastAsia" w:ascii="宋体" w:eastAsia="宋体" w:cs="宋体"/>
                <w:b/>
                <w:bCs/>
                <w:kern w:val="0"/>
                <w:sz w:val="21"/>
                <w:szCs w:val="21"/>
                <w:highlight w:val="none"/>
              </w:rPr>
            </w:pPr>
            <w:r>
              <w:rPr>
                <w:rFonts w:hint="eastAsia" w:ascii="宋体" w:eastAsia="宋体" w:cs="宋体"/>
                <w:b/>
                <w:bCs/>
                <w:kern w:val="0"/>
                <w:sz w:val="21"/>
                <w:szCs w:val="21"/>
                <w:highlight w:val="none"/>
              </w:rPr>
              <w:t>（2）系泊设备：</w:t>
            </w:r>
            <w:r>
              <w:rPr>
                <w:rFonts w:hint="eastAsia" w:ascii="宋体" w:cs="宋体"/>
                <w:b/>
                <w:bCs/>
                <w:kern w:val="0"/>
                <w:sz w:val="21"/>
                <w:szCs w:val="21"/>
                <w:highlight w:val="none"/>
                <w:lang w:val="en-US" w:eastAsia="zh-CN"/>
              </w:rPr>
              <w:t>公务艇</w:t>
            </w:r>
            <w:r>
              <w:rPr>
                <w:rFonts w:hint="eastAsia" w:ascii="宋体" w:eastAsia="宋体" w:cs="宋体"/>
                <w:b/>
                <w:bCs/>
                <w:kern w:val="0"/>
                <w:sz w:val="21"/>
                <w:szCs w:val="21"/>
                <w:highlight w:val="none"/>
              </w:rPr>
              <w:t>艏艉两侧共装有铝合金单V字型系缆桩6只。首部配单十字缆桩1支。同时配备4个防碰球。</w:t>
            </w:r>
          </w:p>
          <w:p w14:paraId="5881D06F">
            <w:pPr>
              <w:spacing w:line="360" w:lineRule="auto"/>
              <w:rPr>
                <w:rFonts w:hint="eastAsia" w:ascii="宋体" w:eastAsia="宋体" w:cs="宋体"/>
                <w:kern w:val="0"/>
                <w:sz w:val="21"/>
                <w:szCs w:val="21"/>
                <w:highlight w:val="none"/>
              </w:rPr>
            </w:pPr>
            <w:r>
              <w:rPr>
                <w:rFonts w:hint="eastAsia" w:ascii="宋体" w:eastAsia="宋体" w:cs="宋体"/>
                <w:b/>
                <w:bCs/>
                <w:kern w:val="0"/>
                <w:sz w:val="21"/>
                <w:szCs w:val="21"/>
                <w:highlight w:val="none"/>
              </w:rPr>
              <w:t>配有φ22mm（破断负荷</w:t>
            </w:r>
            <w:r>
              <w:rPr>
                <w:rFonts w:hint="eastAsia" w:ascii="宋体" w:cs="宋体"/>
                <w:b/>
                <w:bCs/>
                <w:kern w:val="0"/>
                <w:sz w:val="21"/>
                <w:szCs w:val="21"/>
                <w:highlight w:val="none"/>
                <w:lang w:val="en-US" w:eastAsia="zh-CN"/>
              </w:rPr>
              <w:t>不少于</w:t>
            </w:r>
            <w:r>
              <w:rPr>
                <w:rFonts w:hint="eastAsia" w:ascii="宋体" w:eastAsia="宋体" w:cs="宋体"/>
                <w:b/>
                <w:bCs/>
                <w:kern w:val="0"/>
                <w:sz w:val="21"/>
                <w:szCs w:val="21"/>
                <w:highlight w:val="none"/>
              </w:rPr>
              <w:t>51.9KN)锦纶系船索2根，每根长25m，总长50m。艏柱设拖环1只。</w:t>
            </w:r>
          </w:p>
        </w:tc>
      </w:tr>
      <w:tr w14:paraId="3BDCE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8" w:hRule="atLeast"/>
        </w:trPr>
        <w:tc>
          <w:tcPr>
            <w:tcW w:w="707" w:type="dxa"/>
            <w:vMerge w:val="continue"/>
          </w:tcPr>
          <w:p w14:paraId="3842159E"/>
        </w:tc>
        <w:tc>
          <w:tcPr>
            <w:tcW w:w="1292" w:type="dxa"/>
            <w:vMerge w:val="continue"/>
          </w:tcPr>
          <w:p w14:paraId="539161B6"/>
        </w:tc>
        <w:tc>
          <w:tcPr>
            <w:tcW w:w="6875" w:type="dxa"/>
          </w:tcPr>
          <w:p w14:paraId="0D7EA7E9">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5.舱面属具</w:t>
            </w:r>
          </w:p>
          <w:p w14:paraId="3FBC78D0">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（1）驾驶前方采用 2 扇钢化玻璃固定窗，并配有船用雨刮器，艏尖舱及尾舱各设水密舱口盖 1 个。</w:t>
            </w:r>
          </w:p>
          <w:p w14:paraId="5E7CC599">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（2）船四周设有不少于900mm 高的铝合金护栏。露天甲板采用防滑砂，栏杆、扶手、把手、螺丝、螺母等零部件均采用铝合金材质。</w:t>
            </w:r>
          </w:p>
          <w:p w14:paraId="3414C0DB">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（3）公务艇顶部灯桅及天线为可倒式。</w:t>
            </w:r>
          </w:p>
          <w:p w14:paraId="0CB02EFA">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（4）公务艇船艏两侧部位采用铝制防撞条。</w:t>
            </w:r>
          </w:p>
          <w:p w14:paraId="587051A8">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（5）公务艇设长排警灯一套，控制器在驾控台。</w:t>
            </w:r>
          </w:p>
        </w:tc>
      </w:tr>
      <w:tr w14:paraId="5D987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5" w:hRule="atLeast"/>
        </w:trPr>
        <w:tc>
          <w:tcPr>
            <w:tcW w:w="707" w:type="dxa"/>
            <w:vMerge w:val="continue"/>
          </w:tcPr>
          <w:p w14:paraId="797260F5"/>
        </w:tc>
        <w:tc>
          <w:tcPr>
            <w:tcW w:w="1292" w:type="dxa"/>
            <w:vMerge w:val="continue"/>
          </w:tcPr>
          <w:p w14:paraId="6A19402F"/>
        </w:tc>
        <w:tc>
          <w:tcPr>
            <w:tcW w:w="6875" w:type="dxa"/>
          </w:tcPr>
          <w:p w14:paraId="1519B7B7">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6.救生消防设备</w:t>
            </w:r>
          </w:p>
          <w:p w14:paraId="2BD95C6D">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（1）</w:t>
            </w: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配有乘员救生衣共8件，安放在座椅底下，所有救生衣均带有救生衣灯。带有30m长救生浮索救生圈2只，悬挂在上甲板侧栏杆上。</w:t>
            </w:r>
          </w:p>
          <w:p w14:paraId="3FF225F6">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（2）配有10人气胀式救生筏1只，悬挂于主甲板尾部。</w:t>
            </w:r>
          </w:p>
          <w:p w14:paraId="4C2DAA7E">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（3）</w:t>
            </w: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在艏舱和乘员驾驶舱各配手提式5kg干粉灭火器3个，配手提式5kg二氧化碳灭火器1个；太平斧1把，带绳消防桶1只。</w:t>
            </w:r>
          </w:p>
          <w:p w14:paraId="2CAFA0A6">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（4）遇险信号：配有6支降落伞火箭信号。以上具体以规范要求配备为准。</w:t>
            </w:r>
          </w:p>
        </w:tc>
      </w:tr>
      <w:tr w14:paraId="54016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707" w:type="dxa"/>
            <w:vMerge w:val="continue"/>
          </w:tcPr>
          <w:p w14:paraId="2BF1E3A6"/>
        </w:tc>
        <w:tc>
          <w:tcPr>
            <w:tcW w:w="1292" w:type="dxa"/>
            <w:vMerge w:val="continue"/>
          </w:tcPr>
          <w:p w14:paraId="7EEEF054"/>
        </w:tc>
        <w:tc>
          <w:tcPr>
            <w:tcW w:w="6875" w:type="dxa"/>
          </w:tcPr>
          <w:p w14:paraId="22809721">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（二）、轮机部分</w:t>
            </w:r>
          </w:p>
          <w:p w14:paraId="3236FE3D">
            <w:pPr>
              <w:spacing w:line="360" w:lineRule="auto"/>
              <w:rPr>
                <w:rFonts w:hint="eastAsia" w:ascii="宋体" w:eastAsia="宋体" w:cs="宋体"/>
                <w:b/>
                <w:bCs/>
                <w:kern w:val="0"/>
                <w:sz w:val="21"/>
                <w:szCs w:val="21"/>
                <w:highlight w:val="yellow"/>
              </w:rPr>
            </w:pPr>
            <w:r>
              <w:rPr>
                <w:rFonts w:hint="eastAsia" w:ascii="宋体" w:eastAsia="宋体" w:cs="宋体"/>
                <w:b/>
                <w:bCs/>
                <w:kern w:val="0"/>
                <w:sz w:val="21"/>
                <w:szCs w:val="21"/>
                <w:highlight w:val="yellow"/>
              </w:rPr>
              <w:t>★1.主机及推进装置</w:t>
            </w:r>
          </w:p>
          <w:p w14:paraId="37146CC6">
            <w:pPr>
              <w:spacing w:line="360" w:lineRule="auto"/>
              <w:rPr>
                <w:rFonts w:hint="eastAsia" w:ascii="宋体" w:eastAsia="宋体" w:cs="宋体"/>
                <w:kern w:val="0"/>
                <w:sz w:val="21"/>
                <w:szCs w:val="21"/>
                <w:highlight w:val="none"/>
              </w:rPr>
            </w:pPr>
            <w:r>
              <w:rPr>
                <w:rFonts w:hint="eastAsia" w:ascii="宋体" w:eastAsia="宋体" w:cs="宋体"/>
                <w:b/>
                <w:bCs/>
                <w:kern w:val="0"/>
                <w:sz w:val="21"/>
                <w:szCs w:val="21"/>
                <w:highlight w:val="yellow"/>
              </w:rPr>
              <w:t>采用四冲程汽油外挂机，总功率：不低于1</w:t>
            </w:r>
            <w:r>
              <w:rPr>
                <w:rFonts w:hint="eastAsia" w:ascii="宋体" w:cs="宋体"/>
                <w:b/>
                <w:bCs/>
                <w:kern w:val="0"/>
                <w:sz w:val="21"/>
                <w:szCs w:val="21"/>
                <w:highlight w:val="yellow"/>
                <w:lang w:val="en-US" w:eastAsia="zh-CN"/>
              </w:rPr>
              <w:t>0</w:t>
            </w:r>
            <w:r>
              <w:rPr>
                <w:rFonts w:hint="eastAsia" w:ascii="宋体" w:eastAsia="宋体" w:cs="宋体"/>
                <w:b/>
                <w:bCs/>
                <w:kern w:val="0"/>
                <w:sz w:val="21"/>
                <w:szCs w:val="21"/>
                <w:highlight w:val="yellow"/>
              </w:rPr>
              <w:t>00HP，启动/控制：DC12V电启动/电控，</w:t>
            </w:r>
            <w:r>
              <w:rPr>
                <w:rFonts w:hint="eastAsia" w:ascii="宋体" w:cs="宋体"/>
                <w:b/>
                <w:bCs/>
                <w:kern w:val="0"/>
                <w:szCs w:val="21"/>
                <w:highlight w:val="yellow"/>
                <w:lang w:val="en-US" w:eastAsia="zh-CN"/>
              </w:rPr>
              <w:t>所投船艇发动机须具备中华人民共和国海事局认可的船舶检验机构签发的船用产品检验合格证书，检验机构包括但不限于中国船级社（CCS）、各地方船舶检验机构（ZC）等，验收时须提供满足要求的检验合格证书。</w:t>
            </w:r>
          </w:p>
        </w:tc>
      </w:tr>
      <w:tr w14:paraId="205B7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707" w:type="dxa"/>
            <w:vMerge w:val="continue"/>
          </w:tcPr>
          <w:p w14:paraId="24EA4C67"/>
        </w:tc>
        <w:tc>
          <w:tcPr>
            <w:tcW w:w="1292" w:type="dxa"/>
            <w:vMerge w:val="continue"/>
          </w:tcPr>
          <w:p w14:paraId="73742D5A"/>
        </w:tc>
        <w:tc>
          <w:tcPr>
            <w:tcW w:w="6875" w:type="dxa"/>
          </w:tcPr>
          <w:p w14:paraId="5AF2008B">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2.挂机布置</w:t>
            </w:r>
          </w:p>
          <w:p w14:paraId="7F47066E">
            <w:pPr>
              <w:spacing w:line="360" w:lineRule="auto"/>
              <w:rPr>
                <w:rFonts w:hint="eastAsia" w:ascii="宋体" w:eastAsia="宋体" w:cs="宋体"/>
                <w:kern w:val="0"/>
                <w:sz w:val="21"/>
                <w:szCs w:val="21"/>
                <w:highlight w:val="none"/>
              </w:rPr>
            </w:pP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为挂机型，挂机设置在船尾。在0#—2#肋位处，甲板开有舱口盖。</w:t>
            </w:r>
          </w:p>
          <w:p w14:paraId="6945483F">
            <w:pPr>
              <w:spacing w:line="360" w:lineRule="auto"/>
              <w:rPr>
                <w:rFonts w:hint="eastAsia" w:ascii="宋体" w:eastAsia="宋体" w:cs="宋体"/>
                <w:b/>
                <w:bCs/>
                <w:kern w:val="0"/>
                <w:sz w:val="21"/>
                <w:szCs w:val="21"/>
                <w:highlight w:val="none"/>
              </w:rPr>
            </w:pPr>
            <w:r>
              <w:rPr>
                <w:rFonts w:hint="eastAsia" w:ascii="宋体" w:eastAsia="宋体" w:cs="宋体"/>
                <w:kern w:val="0"/>
                <w:sz w:val="21"/>
                <w:szCs w:val="21"/>
                <w:highlight w:val="none"/>
              </w:rPr>
              <w:t>舷外挂机机组安装地艉封板上，对称并列布置，其它设备布置在尾舱、燃油舱及空舱内。</w:t>
            </w:r>
          </w:p>
        </w:tc>
      </w:tr>
      <w:tr w14:paraId="2A318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707" w:type="dxa"/>
            <w:vMerge w:val="continue"/>
          </w:tcPr>
          <w:p w14:paraId="4A7B277C"/>
        </w:tc>
        <w:tc>
          <w:tcPr>
            <w:tcW w:w="1292" w:type="dxa"/>
            <w:vMerge w:val="continue"/>
          </w:tcPr>
          <w:p w14:paraId="2191707C"/>
        </w:tc>
        <w:tc>
          <w:tcPr>
            <w:tcW w:w="6875" w:type="dxa"/>
          </w:tcPr>
          <w:p w14:paraId="7E5E4FCE">
            <w:pPr>
              <w:spacing w:line="360" w:lineRule="auto"/>
              <w:rPr>
                <w:rFonts w:hint="eastAsia" w:ascii="宋体" w:eastAsia="宋体" w:cs="宋体"/>
                <w:b w:val="0"/>
                <w:bCs w:val="0"/>
                <w:kern w:val="0"/>
                <w:sz w:val="21"/>
                <w:szCs w:val="21"/>
                <w:highlight w:val="none"/>
              </w:rPr>
            </w:pPr>
            <w:r>
              <w:rPr>
                <w:rFonts w:hint="eastAsia" w:ascii="宋体" w:eastAsia="宋体" w:cs="宋体"/>
                <w:b w:val="0"/>
                <w:bCs w:val="0"/>
                <w:kern w:val="0"/>
                <w:sz w:val="21"/>
                <w:szCs w:val="21"/>
                <w:highlight w:val="none"/>
              </w:rPr>
              <w:t>3.主机遥控系统及操舵系统</w:t>
            </w:r>
          </w:p>
          <w:p w14:paraId="71D766B4">
            <w:pPr>
              <w:spacing w:line="360" w:lineRule="auto"/>
              <w:rPr>
                <w:rFonts w:hint="eastAsia" w:ascii="宋体" w:eastAsia="宋体" w:cs="宋体"/>
                <w:b w:val="0"/>
                <w:bCs w:val="0"/>
                <w:kern w:val="0"/>
                <w:sz w:val="21"/>
                <w:szCs w:val="21"/>
                <w:highlight w:val="none"/>
              </w:rPr>
            </w:pPr>
            <w:r>
              <w:rPr>
                <w:rFonts w:hint="eastAsia" w:ascii="宋体" w:cs="宋体"/>
                <w:b w:val="0"/>
                <w:bCs w:val="0"/>
                <w:kern w:val="0"/>
                <w:sz w:val="21"/>
                <w:szCs w:val="21"/>
                <w:highlight w:val="none"/>
                <w:lang w:val="en-US" w:eastAsia="zh-CN"/>
              </w:rPr>
              <w:t>公务艇</w:t>
            </w:r>
            <w:r>
              <w:rPr>
                <w:rFonts w:hint="eastAsia" w:ascii="宋体" w:eastAsia="宋体" w:cs="宋体"/>
                <w:b w:val="0"/>
                <w:bCs w:val="0"/>
                <w:kern w:val="0"/>
                <w:sz w:val="21"/>
                <w:szCs w:val="21"/>
                <w:highlight w:val="none"/>
              </w:rPr>
              <w:t>采用单站驾驶,在驾驶台设有遥控装置，以实现舷外挂机组的遥控。舷外挂机组采用随机配带的电控遥控装置，通过驾驶室控制台的手柄可实现舷外挂机的油门调速、齿轮箱的离合和换向。</w:t>
            </w:r>
          </w:p>
          <w:p w14:paraId="41F9516B">
            <w:pPr>
              <w:spacing w:line="360" w:lineRule="auto"/>
              <w:rPr>
                <w:rFonts w:hint="eastAsia" w:ascii="宋体" w:eastAsia="宋体" w:cs="宋体"/>
                <w:b w:val="0"/>
                <w:bCs w:val="0"/>
                <w:kern w:val="0"/>
                <w:sz w:val="21"/>
                <w:szCs w:val="21"/>
                <w:highlight w:val="none"/>
              </w:rPr>
            </w:pPr>
            <w:r>
              <w:rPr>
                <w:rFonts w:hint="eastAsia" w:ascii="宋体" w:eastAsia="宋体" w:cs="宋体"/>
                <w:b w:val="0"/>
                <w:bCs w:val="0"/>
                <w:kern w:val="0"/>
                <w:sz w:val="21"/>
                <w:szCs w:val="21"/>
                <w:highlight w:val="none"/>
              </w:rPr>
              <w:t>通过启停开关对主机进行遥控启动、停车。采用电动倾斜液压升降，在驾驶控制台上设有倾斜角度表及转速表，可对主机运行状态进行监视，通过转动方向盘控制艉部推进装置左右摆动可改变船舶航向。</w:t>
            </w:r>
          </w:p>
          <w:p w14:paraId="367C3573">
            <w:pPr>
              <w:spacing w:line="360" w:lineRule="auto"/>
              <w:rPr>
                <w:rFonts w:hint="eastAsia" w:ascii="宋体" w:eastAsia="宋体" w:cs="宋体"/>
                <w:b/>
                <w:bCs/>
                <w:kern w:val="0"/>
                <w:sz w:val="21"/>
                <w:szCs w:val="21"/>
                <w:highlight w:val="none"/>
              </w:rPr>
            </w:pPr>
            <w:r>
              <w:rPr>
                <w:rFonts w:hint="eastAsia" w:ascii="宋体" w:eastAsia="宋体" w:cs="宋体"/>
                <w:b w:val="0"/>
                <w:bCs w:val="0"/>
                <w:kern w:val="0"/>
                <w:sz w:val="21"/>
                <w:szCs w:val="21"/>
                <w:highlight w:val="none"/>
              </w:rPr>
              <w:t>驾驶室控制台装有仪表盘，包括：滑油压力表、水温表、转速表及主机高水温、低油压报警器等主机仪表。</w:t>
            </w:r>
          </w:p>
        </w:tc>
      </w:tr>
      <w:tr w14:paraId="0ECC3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07" w:type="dxa"/>
            <w:vMerge w:val="continue"/>
          </w:tcPr>
          <w:p w14:paraId="2F1C9DEA"/>
        </w:tc>
        <w:tc>
          <w:tcPr>
            <w:tcW w:w="1292" w:type="dxa"/>
            <w:vMerge w:val="continue"/>
          </w:tcPr>
          <w:p w14:paraId="51A1B7FA"/>
        </w:tc>
        <w:tc>
          <w:tcPr>
            <w:tcW w:w="6875" w:type="dxa"/>
          </w:tcPr>
          <w:p w14:paraId="4A969742">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4.动力系统</w:t>
            </w:r>
          </w:p>
          <w:p w14:paraId="5FEF9BE5">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（1）燃油系统</w:t>
            </w:r>
          </w:p>
          <w:p w14:paraId="24940880">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舷外汽油挂机采用95号及以上无铅汽油作燃料。系统由不锈钢汽油箱及管路阀件等组成。设不低于1300L不锈钢汽油箱一个。汽油通过汽油箱注入口对汽油箱加油。主机运转时，汽油从汽油箱经过滤器进入主机燃油泵。汽油箱</w:t>
            </w:r>
            <w:r>
              <w:rPr>
                <w:rFonts w:hint="eastAsia" w:ascii="宋体" w:cs="宋体"/>
                <w:kern w:val="0"/>
                <w:sz w:val="21"/>
                <w:szCs w:val="21"/>
                <w:highlight w:val="none"/>
                <w:lang w:val="en-US" w:eastAsia="zh-CN"/>
              </w:rPr>
              <w:t>周边</w:t>
            </w:r>
            <w:r>
              <w:rPr>
                <w:rFonts w:hint="eastAsia" w:ascii="宋体" w:eastAsia="宋体" w:cs="宋体"/>
                <w:kern w:val="0"/>
                <w:sz w:val="21"/>
                <w:szCs w:val="21"/>
                <w:highlight w:val="none"/>
              </w:rPr>
              <w:t>设有防火分隔及自然通风系统。汽油箱安装前应进行压力试验，试验压力为</w:t>
            </w:r>
            <w:r>
              <w:rPr>
                <w:rFonts w:hint="eastAsia" w:ascii="宋体" w:cs="宋体"/>
                <w:kern w:val="0"/>
                <w:sz w:val="21"/>
                <w:szCs w:val="21"/>
                <w:highlight w:val="none"/>
                <w:lang w:val="en-US" w:eastAsia="zh-CN"/>
              </w:rPr>
              <w:t>不小于0</w:t>
            </w:r>
            <w:r>
              <w:rPr>
                <w:rFonts w:hint="eastAsia" w:ascii="宋体" w:eastAsia="宋体" w:cs="宋体"/>
                <w:kern w:val="0"/>
                <w:sz w:val="21"/>
                <w:szCs w:val="21"/>
                <w:highlight w:val="none"/>
              </w:rPr>
              <w:t>.03MPa。</w:t>
            </w:r>
          </w:p>
          <w:p w14:paraId="76EF365E">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（2）滑油系统</w:t>
            </w:r>
          </w:p>
          <w:p w14:paraId="5AA5A68D">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主机组自带润滑系统。</w:t>
            </w:r>
          </w:p>
          <w:p w14:paraId="6FA2FD62">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（3）冷却水系统</w:t>
            </w:r>
          </w:p>
          <w:p w14:paraId="7099CB1E">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主机的冷却水系统随主机提供，内外冷却水系统均与主机设计成一体。主机采用海水开式循环；海水由艉机吸入，经主机带冷却水泵送至汽油机内,冷却主机后随尾气排出。</w:t>
            </w:r>
          </w:p>
          <w:p w14:paraId="4C886927">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（4）排气系统及布置</w:t>
            </w:r>
          </w:p>
          <w:p w14:paraId="7CC58F38">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主机采用尾排气。主机废气汽、水混合后从艉机出水口排出舷外。</w:t>
            </w:r>
          </w:p>
        </w:tc>
      </w:tr>
      <w:tr w14:paraId="4549E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707" w:type="dxa"/>
            <w:vMerge w:val="continue"/>
          </w:tcPr>
          <w:p w14:paraId="392C2771"/>
        </w:tc>
        <w:tc>
          <w:tcPr>
            <w:tcW w:w="1292" w:type="dxa"/>
            <w:vMerge w:val="continue"/>
          </w:tcPr>
          <w:p w14:paraId="475BD8B9"/>
        </w:tc>
        <w:tc>
          <w:tcPr>
            <w:tcW w:w="6875" w:type="dxa"/>
          </w:tcPr>
          <w:p w14:paraId="49086688">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5</w:t>
            </w:r>
            <w:r>
              <w:rPr>
                <w:rFonts w:hint="eastAsia" w:ascii="宋体" w:cs="宋体"/>
                <w:kern w:val="0"/>
                <w:sz w:val="21"/>
                <w:szCs w:val="21"/>
                <w:highlight w:val="none"/>
                <w:lang w:eastAsia="zh-CN"/>
              </w:rPr>
              <w:t>.</w:t>
            </w:r>
            <w:r>
              <w:rPr>
                <w:rFonts w:hint="eastAsia" w:ascii="宋体" w:eastAsia="宋体" w:cs="宋体"/>
                <w:kern w:val="0"/>
                <w:sz w:val="21"/>
                <w:szCs w:val="21"/>
                <w:highlight w:val="none"/>
              </w:rPr>
              <w:t>船舶系统</w:t>
            </w:r>
          </w:p>
          <w:p w14:paraId="1E35053A">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机舱设有舱底手摇泵一台,可将艉舱、乘员舱和储物舱等舱底水抽出排到舷外。另还设有2台抽水泵，其中一台为可移动式的；用以抽艉舱和艏尖舱舱底积水。各舱底设置有舱底水高位报警装置。</w:t>
            </w:r>
          </w:p>
        </w:tc>
      </w:tr>
      <w:tr w14:paraId="3C4C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707" w:type="dxa"/>
            <w:vMerge w:val="continue"/>
          </w:tcPr>
          <w:p w14:paraId="4759536A"/>
        </w:tc>
        <w:tc>
          <w:tcPr>
            <w:tcW w:w="1292" w:type="dxa"/>
            <w:vMerge w:val="continue"/>
          </w:tcPr>
          <w:p w14:paraId="06D5410D"/>
        </w:tc>
        <w:tc>
          <w:tcPr>
            <w:tcW w:w="6875" w:type="dxa"/>
          </w:tcPr>
          <w:p w14:paraId="239CE576">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6.通风系统</w:t>
            </w:r>
          </w:p>
          <w:p w14:paraId="49E0806D">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汽油箱舱内采用自然通风系统，由一个自然进出风口与风道组成。</w:t>
            </w:r>
          </w:p>
        </w:tc>
      </w:tr>
      <w:tr w14:paraId="2EBA3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vMerge w:val="continue"/>
          </w:tcPr>
          <w:p w14:paraId="53DD24F1"/>
        </w:tc>
        <w:tc>
          <w:tcPr>
            <w:tcW w:w="1292" w:type="dxa"/>
            <w:vMerge w:val="continue"/>
          </w:tcPr>
          <w:p w14:paraId="1447A997"/>
        </w:tc>
        <w:tc>
          <w:tcPr>
            <w:tcW w:w="6875" w:type="dxa"/>
          </w:tcPr>
          <w:p w14:paraId="0FB53E09">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7、全</w:t>
            </w:r>
            <w:r>
              <w:rPr>
                <w:rFonts w:hint="eastAsia" w:ascii="宋体" w:cs="宋体"/>
                <w:kern w:val="0"/>
                <w:sz w:val="21"/>
                <w:szCs w:val="21"/>
                <w:highlight w:val="none"/>
                <w:lang w:val="en-US" w:eastAsia="zh-CN"/>
              </w:rPr>
              <w:t>艇</w:t>
            </w:r>
            <w:r>
              <w:rPr>
                <w:rFonts w:hint="eastAsia" w:ascii="宋体" w:eastAsia="宋体" w:cs="宋体"/>
                <w:kern w:val="0"/>
                <w:sz w:val="21"/>
                <w:szCs w:val="21"/>
                <w:highlight w:val="none"/>
              </w:rPr>
              <w:t>空气及测量系统</w:t>
            </w:r>
          </w:p>
          <w:p w14:paraId="1A87FAFA">
            <w:pPr>
              <w:spacing w:line="360" w:lineRule="auto"/>
              <w:rPr>
                <w:rFonts w:hint="eastAsia" w:ascii="宋体" w:eastAsia="宋体" w:cs="宋体"/>
                <w:kern w:val="0"/>
                <w:sz w:val="21"/>
                <w:szCs w:val="21"/>
                <w:highlight w:val="none"/>
              </w:rPr>
            </w:pP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汽油箱设有电感式液位计，可以通过设在驾驶台的油位表知道燃油的消耗情况，</w:t>
            </w: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汽油箱设有防爆阻火呼吸阀，保证汽油箱的透气安全。汽油箱透气管的防爆阻火呼吸阀安装在后甲板上。</w:t>
            </w:r>
          </w:p>
        </w:tc>
      </w:tr>
      <w:tr w14:paraId="15917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707" w:type="dxa"/>
            <w:vMerge w:val="continue"/>
          </w:tcPr>
          <w:p w14:paraId="28D4D2E9"/>
        </w:tc>
        <w:tc>
          <w:tcPr>
            <w:tcW w:w="1292" w:type="dxa"/>
            <w:vMerge w:val="continue"/>
          </w:tcPr>
          <w:p w14:paraId="2E4F8F17"/>
        </w:tc>
        <w:tc>
          <w:tcPr>
            <w:tcW w:w="6875" w:type="dxa"/>
          </w:tcPr>
          <w:p w14:paraId="3F2D0C9C">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8.防污染</w:t>
            </w:r>
          </w:p>
          <w:p w14:paraId="5A6CD180">
            <w:pPr>
              <w:spacing w:line="360" w:lineRule="auto"/>
              <w:rPr>
                <w:rFonts w:hint="eastAsia" w:ascii="宋体" w:eastAsia="宋体" w:cs="宋体"/>
                <w:kern w:val="0"/>
                <w:sz w:val="21"/>
                <w:szCs w:val="21"/>
                <w:highlight w:val="none"/>
              </w:rPr>
            </w:pP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所用主机为外舷外挂机，其所用燃料为汽油，汽油的特性具有挥发性。不会对水造成污染。</w:t>
            </w:r>
          </w:p>
        </w:tc>
      </w:tr>
      <w:tr w14:paraId="12FC9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07" w:type="dxa"/>
            <w:vMerge w:val="continue"/>
          </w:tcPr>
          <w:p w14:paraId="7D192A3A"/>
        </w:tc>
        <w:tc>
          <w:tcPr>
            <w:tcW w:w="1292" w:type="dxa"/>
            <w:vMerge w:val="continue"/>
          </w:tcPr>
          <w:p w14:paraId="5D5FCF1F"/>
        </w:tc>
        <w:tc>
          <w:tcPr>
            <w:tcW w:w="6875" w:type="dxa"/>
          </w:tcPr>
          <w:p w14:paraId="0BA3A3EE">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9.垃圾收集系统</w:t>
            </w:r>
          </w:p>
          <w:p w14:paraId="44B8D964">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按规范要求，</w:t>
            </w: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上设置1个10L垃圾桶，总容量10L；并配置一块“请勿将垃圾或其他物品投入水中”中英文告示牌。主要用于收集船舶航行时的日常垃圾，待船舶靠岸时再作回收处理。</w:t>
            </w:r>
          </w:p>
        </w:tc>
      </w:tr>
      <w:tr w14:paraId="1AA11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8" w:hRule="atLeast"/>
        </w:trPr>
        <w:tc>
          <w:tcPr>
            <w:tcW w:w="707" w:type="dxa"/>
            <w:vMerge w:val="continue"/>
          </w:tcPr>
          <w:p w14:paraId="10FB7E79"/>
        </w:tc>
        <w:tc>
          <w:tcPr>
            <w:tcW w:w="1292" w:type="dxa"/>
            <w:vMerge w:val="continue"/>
          </w:tcPr>
          <w:p w14:paraId="01E5746F"/>
        </w:tc>
        <w:tc>
          <w:tcPr>
            <w:tcW w:w="6875" w:type="dxa"/>
          </w:tcPr>
          <w:p w14:paraId="4FEF0A95">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（三）、电气部分</w:t>
            </w:r>
          </w:p>
          <w:p w14:paraId="76B9C6DB">
            <w:pPr>
              <w:spacing w:line="360" w:lineRule="auto"/>
              <w:rPr>
                <w:rFonts w:ascii="宋体" w:eastAsia="宋体" w:cs="宋体"/>
                <w:kern w:val="0"/>
                <w:sz w:val="21"/>
                <w:szCs w:val="21"/>
                <w:highlight w:val="none"/>
                <w:lang w:val="en-US" w:eastAsia="zh-CN"/>
              </w:rPr>
            </w:pPr>
            <w:r>
              <w:rPr>
                <w:rFonts w:hint="eastAsia" w:ascii="宋体" w:eastAsia="宋体" w:cs="宋体"/>
                <w:kern w:val="0"/>
                <w:sz w:val="21"/>
                <w:szCs w:val="21"/>
                <w:highlight w:val="none"/>
              </w:rPr>
              <w:t>1、</w:t>
            </w:r>
            <w:r>
              <w:rPr>
                <w:rFonts w:hint="eastAsia" w:ascii="宋体" w:cs="宋体"/>
                <w:kern w:val="0"/>
                <w:sz w:val="21"/>
                <w:szCs w:val="21"/>
                <w:highlight w:val="none"/>
                <w:lang w:val="en-US" w:eastAsia="zh-CN"/>
              </w:rPr>
              <w:t>设计要求</w:t>
            </w:r>
          </w:p>
          <w:p w14:paraId="3FF32001">
            <w:pPr>
              <w:spacing w:line="360" w:lineRule="auto"/>
              <w:rPr>
                <w:rFonts w:hint="eastAsia" w:ascii="宋体" w:eastAsia="宋体" w:cs="宋体"/>
                <w:sz w:val="21"/>
                <w:szCs w:val="21"/>
                <w:highlight w:val="none"/>
              </w:rPr>
            </w:pP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设计以《国内航行小型海船技术规则》（2024年）、《公务船技术规则》（2020）规定及船舶电气设计手册为依据。航区：平静水域。</w:t>
            </w:r>
          </w:p>
        </w:tc>
      </w:tr>
      <w:tr w14:paraId="6B170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707" w:type="dxa"/>
            <w:vMerge w:val="continue"/>
          </w:tcPr>
          <w:p w14:paraId="549F3E41"/>
        </w:tc>
        <w:tc>
          <w:tcPr>
            <w:tcW w:w="1292" w:type="dxa"/>
            <w:vMerge w:val="continue"/>
          </w:tcPr>
          <w:p w14:paraId="582DD31D"/>
        </w:tc>
        <w:tc>
          <w:tcPr>
            <w:tcW w:w="6875" w:type="dxa"/>
          </w:tcPr>
          <w:p w14:paraId="4CA3DA0E">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2、电源设备</w:t>
            </w:r>
          </w:p>
          <w:p w14:paraId="4999D448">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（1）蓄电池组：配备不低于2块蓄电池，供主机启动用电。当</w:t>
            </w:r>
            <w:r>
              <w:rPr>
                <w:rFonts w:hint="eastAsia" w:ascii="宋体" w:cs="宋体"/>
                <w:kern w:val="0"/>
                <w:sz w:val="21"/>
                <w:szCs w:val="21"/>
                <w:highlight w:val="none"/>
                <w:lang w:val="en-US" w:eastAsia="zh-CN"/>
              </w:rPr>
              <w:t>启动</w:t>
            </w:r>
            <w:r>
              <w:rPr>
                <w:rFonts w:hint="eastAsia" w:ascii="宋体" w:eastAsia="宋体" w:cs="宋体"/>
                <w:kern w:val="0"/>
                <w:sz w:val="21"/>
                <w:szCs w:val="21"/>
                <w:highlight w:val="none"/>
              </w:rPr>
              <w:t>完成且正常运转时，可自行对所有蓄电池组进行充电。按要求进行设计匹配，满足要求即可。</w:t>
            </w:r>
          </w:p>
          <w:p w14:paraId="69C42087">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 xml:space="preserve">（2）充电机 </w:t>
            </w:r>
          </w:p>
          <w:p w14:paraId="4290823B">
            <w:pPr>
              <w:spacing w:line="360" w:lineRule="auto"/>
              <w:rPr>
                <w:rFonts w:hint="eastAsia" w:ascii="宋体" w:eastAsia="宋体" w:cs="宋体"/>
                <w:kern w:val="0"/>
                <w:sz w:val="21"/>
                <w:szCs w:val="21"/>
                <w:highlight w:val="none"/>
              </w:rPr>
            </w:pP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设充电机一台，船舶靠岸时给全船蓄电池组充电。</w:t>
            </w:r>
          </w:p>
          <w:p w14:paraId="574D4A11">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（3）岸电</w:t>
            </w:r>
          </w:p>
          <w:p w14:paraId="0342BE1B">
            <w:pPr>
              <w:spacing w:line="360" w:lineRule="auto"/>
              <w:rPr>
                <w:rFonts w:hint="eastAsia" w:ascii="宋体" w:eastAsia="宋体" w:cs="宋体"/>
                <w:sz w:val="21"/>
                <w:szCs w:val="21"/>
                <w:highlight w:val="none"/>
              </w:rPr>
            </w:pP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设岸电插座插头一套（配</w:t>
            </w:r>
            <w:r>
              <w:rPr>
                <w:rFonts w:hint="eastAsia"/>
                <w:lang w:val="en-US" w:eastAsia="zh-CN"/>
              </w:rPr>
              <w:t>≥</w:t>
            </w:r>
            <w:r>
              <w:rPr>
                <w:rFonts w:hint="eastAsia" w:ascii="宋体" w:eastAsia="宋体" w:cs="宋体"/>
                <w:kern w:val="0"/>
                <w:sz w:val="21"/>
                <w:szCs w:val="21"/>
                <w:highlight w:val="none"/>
              </w:rPr>
              <w:t>35米岸电线），艇靠岸时从岸电插座引入AC220V电源通过充电机给蓄电池组充电。</w:t>
            </w:r>
          </w:p>
        </w:tc>
      </w:tr>
      <w:tr w14:paraId="406A1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707" w:type="dxa"/>
            <w:vMerge w:val="continue"/>
          </w:tcPr>
          <w:p w14:paraId="1A636EEB"/>
        </w:tc>
        <w:tc>
          <w:tcPr>
            <w:tcW w:w="1292" w:type="dxa"/>
            <w:vMerge w:val="continue"/>
          </w:tcPr>
          <w:p w14:paraId="20E03F0E"/>
        </w:tc>
        <w:tc>
          <w:tcPr>
            <w:tcW w:w="6875" w:type="dxa"/>
          </w:tcPr>
          <w:p w14:paraId="0BCCF2B7">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3、配电</w:t>
            </w:r>
          </w:p>
          <w:p w14:paraId="42B76FE2">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（1）</w:t>
            </w: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配电系统采用DC12V双线绝缘系统。</w:t>
            </w:r>
          </w:p>
          <w:p w14:paraId="4964024F">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（2）</w:t>
            </w:r>
            <w:r>
              <w:rPr>
                <w:rFonts w:hint="eastAsia" w:ascii="宋体" w:cs="宋体"/>
                <w:kern w:val="0"/>
                <w:sz w:val="21"/>
                <w:szCs w:val="21"/>
                <w:highlight w:val="none"/>
                <w:lang w:val="en-US" w:eastAsia="zh-CN"/>
              </w:rPr>
              <w:t>公务艇配有</w:t>
            </w:r>
            <w:r>
              <w:rPr>
                <w:rFonts w:hint="eastAsia" w:ascii="宋体" w:eastAsia="宋体" w:cs="宋体"/>
                <w:kern w:val="0"/>
                <w:sz w:val="21"/>
                <w:szCs w:val="21"/>
                <w:highlight w:val="none"/>
              </w:rPr>
              <w:t>1块充放电板，通过断路器或熔断器对各直流用电设备进行控制，并对其进行电气保护。充放电板设有直流电压表、电流表各1块，供电和绝缘指示灯共3个，绝缘检测按钮1个。</w:t>
            </w:r>
          </w:p>
          <w:p w14:paraId="1923BB8B">
            <w:pPr>
              <w:spacing w:line="360" w:lineRule="auto"/>
              <w:rPr>
                <w:rFonts w:hint="eastAsia" w:ascii="宋体" w:eastAsia="宋体" w:cs="宋体"/>
                <w:sz w:val="21"/>
                <w:szCs w:val="21"/>
                <w:highlight w:val="none"/>
              </w:rPr>
            </w:pPr>
            <w:r>
              <w:rPr>
                <w:rFonts w:hint="eastAsia" w:ascii="宋体" w:eastAsia="宋体" w:cs="宋体"/>
                <w:kern w:val="0"/>
                <w:sz w:val="21"/>
                <w:szCs w:val="21"/>
                <w:highlight w:val="none"/>
              </w:rPr>
              <w:t>（3）在驾驶室内装有1只航行信号灯板（NSB）控制全船的航行信号灯。当发生故障时，发出声光报警，提醒值班人员采取措施排除故障。当故障排除后，声光报警结束，恢复正常。</w:t>
            </w:r>
          </w:p>
        </w:tc>
      </w:tr>
      <w:tr w14:paraId="6E1D0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707" w:type="dxa"/>
            <w:vMerge w:val="continue"/>
          </w:tcPr>
          <w:p w14:paraId="5BF54190"/>
        </w:tc>
        <w:tc>
          <w:tcPr>
            <w:tcW w:w="1292" w:type="dxa"/>
            <w:vMerge w:val="continue"/>
          </w:tcPr>
          <w:p w14:paraId="01934D35"/>
        </w:tc>
        <w:tc>
          <w:tcPr>
            <w:tcW w:w="6875" w:type="dxa"/>
          </w:tcPr>
          <w:p w14:paraId="4D15E6B8">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4、电力设备</w:t>
            </w:r>
          </w:p>
          <w:p w14:paraId="4A650F8E">
            <w:pPr>
              <w:spacing w:line="360" w:lineRule="auto"/>
              <w:rPr>
                <w:rFonts w:hint="eastAsia" w:ascii="宋体" w:eastAsia="宋体" w:cs="宋体"/>
                <w:sz w:val="21"/>
                <w:szCs w:val="21"/>
                <w:highlight w:val="none"/>
              </w:rPr>
            </w:pPr>
            <w:r>
              <w:rPr>
                <w:rFonts w:hint="eastAsia" w:ascii="宋体" w:eastAsia="宋体" w:cs="宋体"/>
                <w:kern w:val="0"/>
                <w:sz w:val="21"/>
                <w:szCs w:val="21"/>
                <w:highlight w:val="none"/>
              </w:rPr>
              <w:t>（1）</w:t>
            </w:r>
            <w:r>
              <w:rPr>
                <w:rFonts w:hint="eastAsia" w:ascii="宋体" w:cs="宋体"/>
                <w:kern w:val="0"/>
                <w:sz w:val="21"/>
                <w:szCs w:val="21"/>
                <w:highlight w:val="none"/>
                <w:lang w:val="en-US" w:eastAsia="zh-CN"/>
              </w:rPr>
              <w:t>公务艇配</w:t>
            </w:r>
            <w:r>
              <w:rPr>
                <w:rFonts w:hint="eastAsia" w:ascii="宋体" w:eastAsia="宋体" w:cs="宋体"/>
                <w:kern w:val="0"/>
                <w:sz w:val="21"/>
                <w:szCs w:val="21"/>
                <w:highlight w:val="none"/>
              </w:rPr>
              <w:t>有2台电动舱底泵（DC12V）。</w:t>
            </w:r>
          </w:p>
        </w:tc>
      </w:tr>
      <w:tr w14:paraId="72F1A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07" w:type="dxa"/>
            <w:vMerge w:val="continue"/>
          </w:tcPr>
          <w:p w14:paraId="665803CE"/>
        </w:tc>
        <w:tc>
          <w:tcPr>
            <w:tcW w:w="1292" w:type="dxa"/>
            <w:vMerge w:val="continue"/>
          </w:tcPr>
          <w:p w14:paraId="17E52B88"/>
        </w:tc>
        <w:tc>
          <w:tcPr>
            <w:tcW w:w="6875" w:type="dxa"/>
          </w:tcPr>
          <w:p w14:paraId="3A5ABC5D">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5、照明</w:t>
            </w:r>
          </w:p>
          <w:p w14:paraId="7BF779FA">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（1）在乘员驾驶舱装有LED天花灯。艉舱装有防水灯。</w:t>
            </w:r>
          </w:p>
          <w:p w14:paraId="1D68256F">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（2）尾甲板配1盏泛光灯。</w:t>
            </w:r>
          </w:p>
          <w:p w14:paraId="13AA42CF">
            <w:pPr>
              <w:spacing w:line="360" w:lineRule="auto"/>
              <w:rPr>
                <w:rFonts w:hint="eastAsia" w:ascii="宋体" w:eastAsia="宋体" w:cs="宋体"/>
                <w:sz w:val="21"/>
                <w:szCs w:val="21"/>
                <w:highlight w:val="none"/>
              </w:rPr>
            </w:pPr>
            <w:r>
              <w:rPr>
                <w:rFonts w:hint="eastAsia" w:ascii="宋体" w:eastAsia="宋体" w:cs="宋体"/>
                <w:kern w:val="0"/>
                <w:sz w:val="21"/>
                <w:szCs w:val="21"/>
                <w:highlight w:val="none"/>
              </w:rPr>
              <w:t>（3）</w:t>
            </w: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驾驶室顶</w:t>
            </w:r>
            <w:r>
              <w:rPr>
                <w:rFonts w:hint="eastAsia"/>
                <w:lang w:eastAsia="zh-CN"/>
              </w:rPr>
              <w:t>配有</w:t>
            </w:r>
            <w:r>
              <w:rPr>
                <w:rFonts w:hint="eastAsia" w:ascii="宋体" w:eastAsia="宋体" w:cs="宋体"/>
                <w:kern w:val="0"/>
                <w:sz w:val="21"/>
                <w:szCs w:val="21"/>
                <w:highlight w:val="none"/>
              </w:rPr>
              <w:t>1只电动遥控探照灯，控制开关设在驾控台。</w:t>
            </w:r>
          </w:p>
        </w:tc>
      </w:tr>
      <w:tr w14:paraId="19DA5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707" w:type="dxa"/>
            <w:vMerge w:val="continue"/>
          </w:tcPr>
          <w:p w14:paraId="185319A5"/>
        </w:tc>
        <w:tc>
          <w:tcPr>
            <w:tcW w:w="1292" w:type="dxa"/>
            <w:vMerge w:val="continue"/>
          </w:tcPr>
          <w:p w14:paraId="4D580F0C"/>
        </w:tc>
        <w:tc>
          <w:tcPr>
            <w:tcW w:w="6875" w:type="dxa"/>
          </w:tcPr>
          <w:p w14:paraId="2BBC5426">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6、航行信号设备</w:t>
            </w:r>
          </w:p>
          <w:p w14:paraId="71F96E20">
            <w:pPr>
              <w:spacing w:line="360" w:lineRule="auto"/>
              <w:rPr>
                <w:rFonts w:hint="eastAsia" w:ascii="宋体" w:eastAsia="宋体" w:cs="宋体"/>
                <w:kern w:val="0"/>
                <w:sz w:val="21"/>
                <w:szCs w:val="21"/>
                <w:highlight w:val="none"/>
              </w:rPr>
            </w:pP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航行信号灯按规范要求配置。所有航行信号灯可通过设在驾驶台的航行信号灯板进行控制。航行信号灯板具有故障声光报警功能。</w:t>
            </w:r>
          </w:p>
        </w:tc>
      </w:tr>
      <w:tr w14:paraId="0C0D8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707" w:type="dxa"/>
            <w:vMerge w:val="continue"/>
          </w:tcPr>
          <w:p w14:paraId="6CCFF532"/>
        </w:tc>
        <w:tc>
          <w:tcPr>
            <w:tcW w:w="1292" w:type="dxa"/>
            <w:vMerge w:val="continue"/>
          </w:tcPr>
          <w:p w14:paraId="495F93A4"/>
        </w:tc>
        <w:tc>
          <w:tcPr>
            <w:tcW w:w="6875" w:type="dxa"/>
          </w:tcPr>
          <w:p w14:paraId="3FC99D65">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7、航行设备</w:t>
            </w:r>
          </w:p>
          <w:p w14:paraId="701EBAFA">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（1）配有1台磁罗经。</w:t>
            </w:r>
          </w:p>
          <w:p w14:paraId="0B43FCA8">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（2）配有1台多功能导航系统一套，兼测深、GPS、雷达及海图功能，含多功能显示器一台、雷达天线一套、定位仪天线一根、海图卡一张、测深探头一个。</w:t>
            </w:r>
          </w:p>
          <w:p w14:paraId="6A275FD4">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（3）配有1套基于北斗B级自动识别系统。</w:t>
            </w:r>
          </w:p>
        </w:tc>
      </w:tr>
      <w:tr w14:paraId="3A754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707" w:type="dxa"/>
            <w:vMerge w:val="continue"/>
          </w:tcPr>
          <w:p w14:paraId="65F265B7"/>
        </w:tc>
        <w:tc>
          <w:tcPr>
            <w:tcW w:w="1292" w:type="dxa"/>
            <w:vMerge w:val="continue"/>
          </w:tcPr>
          <w:p w14:paraId="5A29247D"/>
        </w:tc>
        <w:tc>
          <w:tcPr>
            <w:tcW w:w="6875" w:type="dxa"/>
          </w:tcPr>
          <w:p w14:paraId="0C46F90A">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8、无线电通信设备</w:t>
            </w:r>
          </w:p>
          <w:p w14:paraId="0680F217">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（1）配有1套甚高频电话，带DSC功能。</w:t>
            </w:r>
          </w:p>
          <w:p w14:paraId="6BC8C7A1">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（2）配有1台便携式甚高频电话。</w:t>
            </w:r>
          </w:p>
          <w:p w14:paraId="66673895">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（3）配有1台雷达应答器。</w:t>
            </w:r>
          </w:p>
          <w:p w14:paraId="0F1F6C3E">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（4）配有1台双向甚高频电话。</w:t>
            </w:r>
          </w:p>
        </w:tc>
      </w:tr>
      <w:tr w14:paraId="58691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707" w:type="dxa"/>
            <w:vMerge w:val="continue"/>
          </w:tcPr>
          <w:p w14:paraId="4BDCA54B"/>
        </w:tc>
        <w:tc>
          <w:tcPr>
            <w:tcW w:w="1292" w:type="dxa"/>
            <w:vMerge w:val="continue"/>
          </w:tcPr>
          <w:p w14:paraId="71FB1DB5"/>
        </w:tc>
        <w:tc>
          <w:tcPr>
            <w:tcW w:w="6875" w:type="dxa"/>
          </w:tcPr>
          <w:p w14:paraId="0A7BADBB">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9 船内通信和报警设备</w:t>
            </w:r>
          </w:p>
          <w:p w14:paraId="07863A22">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（1）</w:t>
            </w: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在驾驶室底水报警装置1套，并在艉舱及艏尖舱设有高水位报警浮子开关。</w:t>
            </w:r>
          </w:p>
          <w:p w14:paraId="5DB85CC9">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（2）</w:t>
            </w: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在驾驶室前部设雨刮2套，带喷水装置，控制器在驾控台。</w:t>
            </w:r>
          </w:p>
          <w:p w14:paraId="240CE5AF">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（3）顶部设电笛1只，由驾控台电笛开关控制。</w:t>
            </w:r>
          </w:p>
        </w:tc>
      </w:tr>
      <w:tr w14:paraId="05344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7" w:type="dxa"/>
            <w:vMerge w:val="continue"/>
          </w:tcPr>
          <w:p w14:paraId="4D6F13ED"/>
        </w:tc>
        <w:tc>
          <w:tcPr>
            <w:tcW w:w="1292" w:type="dxa"/>
            <w:vMerge w:val="continue"/>
          </w:tcPr>
          <w:p w14:paraId="12C93D7C"/>
        </w:tc>
        <w:tc>
          <w:tcPr>
            <w:tcW w:w="6875" w:type="dxa"/>
          </w:tcPr>
          <w:p w14:paraId="2D2FDE36">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10 避雷与设备安全接地</w:t>
            </w:r>
          </w:p>
          <w:p w14:paraId="64A79612">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（1）在顶蓬甲板的桅杆顶部安装有一根φ12</w:t>
            </w:r>
            <w:r>
              <w:rPr>
                <w:rFonts w:hint="eastAsia" w:ascii="宋体" w:cs="宋体"/>
                <w:kern w:val="0"/>
                <w:sz w:val="21"/>
                <w:szCs w:val="21"/>
                <w:highlight w:val="none"/>
                <w:lang w:val="en-US" w:eastAsia="zh-CN"/>
              </w:rPr>
              <w:t>mm</w:t>
            </w:r>
            <w:r>
              <w:rPr>
                <w:rFonts w:hint="eastAsia" w:ascii="宋体" w:eastAsia="宋体" w:cs="宋体"/>
                <w:kern w:val="0"/>
                <w:sz w:val="21"/>
                <w:szCs w:val="21"/>
                <w:highlight w:val="none"/>
              </w:rPr>
              <w:t xml:space="preserve">, L=300mm的铝合金避雷针，横截面不小于8mm²,并高于桅杆灯150mm。通过桅杆与船壳连接。 </w:t>
            </w:r>
          </w:p>
          <w:p w14:paraId="02F482AD">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（2）</w:t>
            </w: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的油箱、主机、全船栏杆、配电箱等设备均需有效接地。</w:t>
            </w:r>
          </w:p>
        </w:tc>
      </w:tr>
      <w:tr w14:paraId="51D5F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8" w:hRule="atLeast"/>
        </w:trPr>
        <w:tc>
          <w:tcPr>
            <w:tcW w:w="707" w:type="dxa"/>
            <w:vMerge w:val="continue"/>
          </w:tcPr>
          <w:p w14:paraId="5FBEEE12"/>
        </w:tc>
        <w:tc>
          <w:tcPr>
            <w:tcW w:w="1292" w:type="dxa"/>
            <w:vMerge w:val="continue"/>
          </w:tcPr>
          <w:p w14:paraId="7BF2CD84"/>
        </w:tc>
        <w:tc>
          <w:tcPr>
            <w:tcW w:w="6875" w:type="dxa"/>
          </w:tcPr>
          <w:p w14:paraId="1111B007">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11 电缆</w:t>
            </w:r>
          </w:p>
          <w:p w14:paraId="1C102FA3">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（1）</w:t>
            </w: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电缆采用“CCS”认可型CEPF、CEFR船用电缆（随机电缆除外）。</w:t>
            </w:r>
          </w:p>
          <w:p w14:paraId="0DA82A8B">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（2）全船电缆应拉敷整齐，平直，易于检修。</w:t>
            </w:r>
          </w:p>
          <w:p w14:paraId="74C35678">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（3）电缆的穿舱件应确保水密性。</w:t>
            </w:r>
          </w:p>
        </w:tc>
      </w:tr>
      <w:bookmarkEnd w:id="26"/>
      <w:tr w14:paraId="0E693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07" w:type="dxa"/>
            <w:vMerge w:val="restart"/>
            <w:vAlign w:val="center"/>
          </w:tcPr>
          <w:p w14:paraId="2BC86632">
            <w:pPr>
              <w:spacing w:line="360" w:lineRule="auto"/>
              <w:jc w:val="center"/>
              <w:rPr>
                <w:rFonts w:hint="eastAsia" w:ascii="宋体" w:eastAsia="宋体" w:cs="宋体"/>
                <w:sz w:val="21"/>
                <w:szCs w:val="21"/>
                <w:lang w:eastAsia="zh-CN"/>
              </w:rPr>
            </w:pPr>
            <w:r>
              <w:rPr>
                <w:rFonts w:hint="eastAsia" w:ascii="宋体" w:eastAsia="宋体" w:cs="宋体"/>
                <w:sz w:val="21"/>
                <w:szCs w:val="21"/>
                <w:lang w:val="en-US" w:eastAsia="zh-CN"/>
              </w:rPr>
              <w:t>2</w:t>
            </w:r>
          </w:p>
        </w:tc>
        <w:tc>
          <w:tcPr>
            <w:tcW w:w="1292" w:type="dxa"/>
            <w:vMerge w:val="restart"/>
            <w:vAlign w:val="center"/>
          </w:tcPr>
          <w:p w14:paraId="66E8B7CE">
            <w:pPr>
              <w:spacing w:line="360" w:lineRule="auto"/>
              <w:jc w:val="center"/>
              <w:rPr>
                <w:rFonts w:hint="eastAsia" w:ascii="宋体" w:eastAsia="宋体" w:cs="宋体"/>
                <w:sz w:val="21"/>
                <w:szCs w:val="21"/>
              </w:rPr>
            </w:pPr>
            <w:r>
              <w:rPr>
                <w:rFonts w:hint="eastAsia" w:ascii="宋体" w:eastAsia="宋体" w:cs="宋体"/>
                <w:bCs/>
                <w:sz w:val="21"/>
                <w:szCs w:val="21"/>
              </w:rPr>
              <w:t>公务艇（12米带遮阳蓬的敞开艇）</w:t>
            </w:r>
          </w:p>
        </w:tc>
        <w:tc>
          <w:tcPr>
            <w:tcW w:w="6875" w:type="dxa"/>
          </w:tcPr>
          <w:p w14:paraId="081AB2C0">
            <w:pPr>
              <w:spacing w:line="360" w:lineRule="auto"/>
              <w:rPr>
                <w:rFonts w:hint="eastAsia" w:ascii="宋体" w:eastAsia="宋体" w:cs="宋体"/>
                <w:sz w:val="21"/>
                <w:szCs w:val="21"/>
              </w:rPr>
            </w:pPr>
            <w:r>
              <w:rPr>
                <w:rFonts w:hint="eastAsia" w:ascii="宋体" w:eastAsia="宋体" w:cs="宋体"/>
                <w:sz w:val="21"/>
                <w:szCs w:val="21"/>
              </w:rPr>
              <w:t>1.</w:t>
            </w:r>
            <w:r>
              <w:rPr>
                <w:rFonts w:hint="eastAsia" w:ascii="宋体" w:cs="宋体"/>
                <w:sz w:val="21"/>
                <w:szCs w:val="21"/>
                <w:lang w:val="en-US" w:eastAsia="zh-CN"/>
              </w:rPr>
              <w:t>需求概况</w:t>
            </w:r>
            <w:r>
              <w:rPr>
                <w:rFonts w:hint="eastAsia" w:ascii="宋体" w:eastAsia="宋体" w:cs="宋体"/>
                <w:sz w:val="21"/>
                <w:szCs w:val="21"/>
              </w:rPr>
              <w:t>：</w:t>
            </w:r>
          </w:p>
          <w:p w14:paraId="38EAFBAA">
            <w:pPr>
              <w:spacing w:line="360" w:lineRule="auto"/>
              <w:rPr>
                <w:rFonts w:hint="eastAsia" w:ascii="宋体" w:eastAsia="宋体" w:cs="宋体"/>
                <w:b w:val="0"/>
                <w:bCs w:val="0"/>
                <w:sz w:val="21"/>
                <w:szCs w:val="21"/>
                <w:highlight w:val="none"/>
              </w:rPr>
            </w:pPr>
            <w:r>
              <w:rPr>
                <w:rFonts w:hint="eastAsia" w:ascii="宋体" w:eastAsia="宋体" w:cs="宋体"/>
                <w:b w:val="0"/>
                <w:bCs w:val="0"/>
                <w:kern w:val="0"/>
                <w:sz w:val="21"/>
                <w:szCs w:val="21"/>
                <w:highlight w:val="none"/>
              </w:rPr>
              <w:t>（</w:t>
            </w:r>
            <w:r>
              <w:rPr>
                <w:rFonts w:hint="eastAsia" w:ascii="宋体" w:cs="宋体"/>
                <w:b w:val="0"/>
                <w:bCs w:val="0"/>
                <w:kern w:val="0"/>
                <w:sz w:val="21"/>
                <w:szCs w:val="21"/>
                <w:highlight w:val="none"/>
                <w:lang w:val="en-US" w:eastAsia="zh-CN"/>
              </w:rPr>
              <w:t>1</w:t>
            </w:r>
            <w:r>
              <w:rPr>
                <w:rFonts w:hint="eastAsia" w:ascii="宋体" w:eastAsia="宋体" w:cs="宋体"/>
                <w:b w:val="0"/>
                <w:bCs w:val="0"/>
                <w:kern w:val="0"/>
                <w:sz w:val="21"/>
                <w:szCs w:val="21"/>
                <w:highlight w:val="none"/>
              </w:rPr>
              <w:t>）抗风能力：不低于蒲氏6级。</w:t>
            </w:r>
          </w:p>
          <w:p w14:paraId="0DE6D905">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w:t>
            </w:r>
            <w:r>
              <w:rPr>
                <w:rFonts w:hint="eastAsia" w:ascii="宋体" w:cs="宋体"/>
                <w:kern w:val="0"/>
                <w:sz w:val="21"/>
                <w:szCs w:val="21"/>
                <w:highlight w:val="none"/>
                <w:lang w:val="en-US" w:eastAsia="zh-CN"/>
              </w:rPr>
              <w:t>2</w:t>
            </w:r>
            <w:r>
              <w:rPr>
                <w:rFonts w:hint="eastAsia" w:ascii="宋体" w:eastAsia="宋体" w:cs="宋体"/>
                <w:kern w:val="0"/>
                <w:sz w:val="21"/>
                <w:szCs w:val="21"/>
                <w:highlight w:val="none"/>
              </w:rPr>
              <w:t>）规范和规则</w:t>
            </w:r>
          </w:p>
          <w:p w14:paraId="0BC292A8">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①中华人民共和国海事局（MSA）《公务船技术规则》（2020年）；</w:t>
            </w:r>
          </w:p>
          <w:p w14:paraId="0E257581">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②中华人民共和国海事局（MSA）《国内航行小型海船技术规则》（2024）；</w:t>
            </w:r>
          </w:p>
          <w:p w14:paraId="14AFE05C">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③中华人民共和国海事局（MSA）《吨位丈量规则》（2022年）；</w:t>
            </w:r>
          </w:p>
          <w:p w14:paraId="026397A2">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④中国船级社（CCS）《材料与焊接规范》（2024年）。</w:t>
            </w:r>
          </w:p>
          <w:p w14:paraId="5912E87C">
            <w:pPr>
              <w:spacing w:line="360" w:lineRule="auto"/>
              <w:rPr>
                <w:rFonts w:hint="eastAsia" w:ascii="宋体" w:eastAsia="宋体" w:cs="宋体"/>
                <w:kern w:val="0"/>
                <w:sz w:val="21"/>
                <w:szCs w:val="21"/>
                <w:lang w:eastAsia="zh-CN"/>
              </w:rPr>
            </w:pPr>
            <w:r>
              <w:rPr>
                <w:rFonts w:hint="eastAsia" w:ascii="宋体" w:eastAsia="宋体" w:cs="宋体"/>
                <w:kern w:val="0"/>
                <w:sz w:val="21"/>
                <w:szCs w:val="21"/>
              </w:rPr>
              <w:t>（</w:t>
            </w:r>
            <w:r>
              <w:rPr>
                <w:rFonts w:hint="eastAsia" w:ascii="宋体" w:cs="宋体"/>
                <w:kern w:val="0"/>
                <w:sz w:val="21"/>
                <w:szCs w:val="21"/>
                <w:lang w:val="en-US" w:eastAsia="zh-CN"/>
              </w:rPr>
              <w:t>3</w:t>
            </w:r>
            <w:r>
              <w:rPr>
                <w:rFonts w:hint="eastAsia" w:ascii="宋体" w:eastAsia="宋体" w:cs="宋体"/>
                <w:kern w:val="0"/>
                <w:sz w:val="21"/>
                <w:szCs w:val="21"/>
              </w:rPr>
              <w:t>）干舷和储备浮力：要求干舷和储备浮力需满足MSA《国内航行小型海船技术规则》（2024）对甲板艇的相关要求</w:t>
            </w:r>
            <w:r>
              <w:rPr>
                <w:rFonts w:hint="eastAsia" w:ascii="宋体" w:cs="宋体"/>
                <w:kern w:val="0"/>
                <w:sz w:val="21"/>
                <w:szCs w:val="21"/>
                <w:lang w:eastAsia="zh-CN"/>
              </w:rPr>
              <w:t>。</w:t>
            </w:r>
          </w:p>
          <w:p w14:paraId="0F3634BC">
            <w:pPr>
              <w:spacing w:line="360" w:lineRule="auto"/>
              <w:rPr>
                <w:rFonts w:hint="eastAsia" w:ascii="宋体" w:eastAsia="宋体" w:cs="宋体"/>
                <w:kern w:val="0"/>
                <w:sz w:val="21"/>
                <w:szCs w:val="21"/>
              </w:rPr>
            </w:pPr>
            <w:r>
              <w:rPr>
                <w:rFonts w:hint="eastAsia" w:ascii="宋体" w:eastAsia="宋体" w:cs="宋体"/>
                <w:kern w:val="0"/>
                <w:sz w:val="21"/>
                <w:szCs w:val="21"/>
              </w:rPr>
              <w:t>（</w:t>
            </w:r>
            <w:r>
              <w:rPr>
                <w:rFonts w:hint="eastAsia" w:ascii="宋体" w:cs="宋体"/>
                <w:kern w:val="0"/>
                <w:sz w:val="21"/>
                <w:szCs w:val="21"/>
                <w:lang w:val="en-US" w:eastAsia="zh-CN"/>
              </w:rPr>
              <w:t>4</w:t>
            </w:r>
            <w:r>
              <w:rPr>
                <w:rFonts w:hint="eastAsia" w:ascii="宋体" w:eastAsia="宋体" w:cs="宋体"/>
                <w:kern w:val="0"/>
                <w:sz w:val="21"/>
                <w:szCs w:val="21"/>
              </w:rPr>
              <w:t>）完整稳性：要求稳性需满足MSA《国内航行小型海船技术规则》（2024）和《国内航行海船法定检验技术规则》（2020年）对高速船舶的相关要求。</w:t>
            </w:r>
          </w:p>
          <w:p w14:paraId="065571FF">
            <w:pPr>
              <w:spacing w:line="360" w:lineRule="auto"/>
              <w:rPr>
                <w:rFonts w:hint="eastAsia" w:ascii="宋体" w:eastAsia="宋体" w:cs="宋体"/>
                <w:kern w:val="0"/>
                <w:sz w:val="21"/>
                <w:szCs w:val="21"/>
              </w:rPr>
            </w:pPr>
            <w:r>
              <w:rPr>
                <w:rFonts w:hint="eastAsia" w:ascii="宋体" w:eastAsia="宋体" w:cs="宋体"/>
                <w:kern w:val="0"/>
                <w:sz w:val="21"/>
                <w:szCs w:val="21"/>
              </w:rPr>
              <w:t>（</w:t>
            </w:r>
            <w:r>
              <w:rPr>
                <w:rFonts w:hint="eastAsia" w:ascii="宋体" w:cs="宋体"/>
                <w:kern w:val="0"/>
                <w:sz w:val="21"/>
                <w:szCs w:val="21"/>
                <w:lang w:val="en-US" w:eastAsia="zh-CN"/>
              </w:rPr>
              <w:t>5</w:t>
            </w:r>
            <w:r>
              <w:rPr>
                <w:rFonts w:hint="eastAsia" w:ascii="宋体" w:eastAsia="宋体" w:cs="宋体"/>
                <w:kern w:val="0"/>
                <w:sz w:val="21"/>
                <w:szCs w:val="21"/>
              </w:rPr>
              <w:t>）破损稳性：要求破损稳性需满足MSA《国内航行小型海船技术规则》（2024）的相关要求，满足进水不沉。</w:t>
            </w:r>
          </w:p>
        </w:tc>
      </w:tr>
      <w:tr w14:paraId="0AF8A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trPr>
        <w:tc>
          <w:tcPr>
            <w:tcW w:w="707" w:type="dxa"/>
            <w:vMerge w:val="continue"/>
          </w:tcPr>
          <w:p w14:paraId="6AB7D14F"/>
        </w:tc>
        <w:tc>
          <w:tcPr>
            <w:tcW w:w="1292" w:type="dxa"/>
            <w:vMerge w:val="continue"/>
          </w:tcPr>
          <w:p w14:paraId="63D4F673"/>
        </w:tc>
        <w:tc>
          <w:tcPr>
            <w:tcW w:w="6875" w:type="dxa"/>
          </w:tcPr>
          <w:p w14:paraId="0453A7FD">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（一）、船体部分</w:t>
            </w:r>
          </w:p>
          <w:p w14:paraId="5EA9B7EB">
            <w:pPr>
              <w:spacing w:line="360" w:lineRule="auto"/>
              <w:rPr>
                <w:rFonts w:hint="eastAsia" w:ascii="宋体" w:eastAsia="宋体" w:cs="宋体"/>
                <w:kern w:val="0"/>
                <w:sz w:val="21"/>
                <w:szCs w:val="21"/>
                <w:highlight w:val="none"/>
                <w:lang w:val="en-US" w:eastAsia="zh-CN"/>
              </w:rPr>
            </w:pPr>
            <w:r>
              <w:rPr>
                <w:rFonts w:hint="eastAsia" w:ascii="宋体" w:eastAsia="宋体" w:cs="宋体"/>
                <w:kern w:val="0"/>
                <w:sz w:val="21"/>
                <w:szCs w:val="21"/>
                <w:highlight w:val="none"/>
              </w:rPr>
              <w:t>1.</w:t>
            </w:r>
            <w:r>
              <w:rPr>
                <w:rFonts w:hint="eastAsia" w:ascii="宋体" w:cs="宋体"/>
                <w:kern w:val="0"/>
                <w:sz w:val="21"/>
                <w:szCs w:val="21"/>
                <w:highlight w:val="none"/>
                <w:lang w:val="en-US" w:eastAsia="zh-CN"/>
              </w:rPr>
              <w:t>总体要求</w:t>
            </w:r>
          </w:p>
          <w:p w14:paraId="795E9884">
            <w:pPr>
              <w:spacing w:line="360" w:lineRule="auto"/>
              <w:rPr>
                <w:rFonts w:hint="eastAsia" w:ascii="宋体" w:eastAsia="宋体" w:cs="宋体"/>
                <w:kern w:val="0"/>
                <w:sz w:val="21"/>
                <w:szCs w:val="21"/>
                <w:highlight w:val="none"/>
              </w:rPr>
            </w:pPr>
            <w:r>
              <w:rPr>
                <w:rFonts w:hint="eastAsia" w:ascii="宋体" w:eastAsia="宋体" w:cs="宋体"/>
                <w:bCs/>
                <w:sz w:val="21"/>
                <w:szCs w:val="21"/>
              </w:rPr>
              <w:t>公务艇</w:t>
            </w:r>
            <w:r>
              <w:rPr>
                <w:rFonts w:hint="eastAsia" w:ascii="宋体" w:eastAsia="宋体" w:cs="宋体"/>
                <w:kern w:val="0"/>
                <w:sz w:val="21"/>
                <w:szCs w:val="21"/>
                <w:highlight w:val="none"/>
              </w:rPr>
              <w:t>为前倾式艏柱，单体，折角深 V 滑行艇船型。</w:t>
            </w:r>
            <w:r>
              <w:rPr>
                <w:rFonts w:hint="eastAsia" w:ascii="宋体" w:cs="宋体"/>
                <w:kern w:val="0"/>
                <w:sz w:val="21"/>
                <w:szCs w:val="21"/>
                <w:highlight w:val="none"/>
                <w:lang w:val="en-US" w:eastAsia="zh-CN"/>
              </w:rPr>
              <w:t>船艇类型</w:t>
            </w:r>
            <w:r>
              <w:rPr>
                <w:rFonts w:hint="eastAsia" w:ascii="宋体" w:eastAsia="宋体" w:cs="宋体"/>
                <w:kern w:val="0"/>
                <w:sz w:val="21"/>
                <w:szCs w:val="21"/>
                <w:highlight w:val="none"/>
              </w:rPr>
              <w:t>为</w:t>
            </w:r>
            <w:r>
              <w:rPr>
                <w:rFonts w:hint="eastAsia" w:ascii="宋体" w:cs="宋体"/>
                <w:kern w:val="0"/>
                <w:sz w:val="21"/>
                <w:szCs w:val="21"/>
                <w:highlight w:val="none"/>
                <w:lang w:val="en-US" w:eastAsia="zh-CN"/>
              </w:rPr>
              <w:t>带遮蓬</w:t>
            </w:r>
            <w:r>
              <w:rPr>
                <w:rFonts w:hint="eastAsia" w:ascii="宋体" w:eastAsia="宋体" w:cs="宋体"/>
                <w:sz w:val="21"/>
                <w:szCs w:val="21"/>
                <w:highlight w:val="none"/>
              </w:rPr>
              <w:t>敞开艇</w:t>
            </w:r>
            <w:r>
              <w:rPr>
                <w:rFonts w:hint="eastAsia" w:ascii="宋体" w:eastAsia="宋体" w:cs="宋体"/>
                <w:kern w:val="0"/>
                <w:sz w:val="21"/>
                <w:szCs w:val="21"/>
                <w:highlight w:val="none"/>
              </w:rPr>
              <w:t>。采用汽油舷外挂机驱动；全艇为全焊接铝合金结构，船用铝合金（5083-H116、6082-T6）。</w:t>
            </w:r>
          </w:p>
        </w:tc>
      </w:tr>
      <w:tr w14:paraId="357B8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7" w:type="dxa"/>
            <w:vMerge w:val="continue"/>
          </w:tcPr>
          <w:p w14:paraId="2F8E2309"/>
        </w:tc>
        <w:tc>
          <w:tcPr>
            <w:tcW w:w="1292" w:type="dxa"/>
            <w:vMerge w:val="continue"/>
          </w:tcPr>
          <w:p w14:paraId="0ED529F6"/>
        </w:tc>
        <w:tc>
          <w:tcPr>
            <w:tcW w:w="6875" w:type="dxa"/>
          </w:tcPr>
          <w:p w14:paraId="3010BB52">
            <w:pPr>
              <w:spacing w:line="360" w:lineRule="auto"/>
              <w:rPr>
                <w:rFonts w:hint="eastAsia" w:ascii="宋体" w:eastAsia="宋体" w:cs="宋体"/>
                <w:b/>
                <w:bCs/>
                <w:kern w:val="0"/>
                <w:sz w:val="21"/>
                <w:szCs w:val="21"/>
                <w:highlight w:val="yellow"/>
              </w:rPr>
            </w:pPr>
            <w:r>
              <w:rPr>
                <w:rFonts w:hint="eastAsia" w:ascii="宋体" w:eastAsia="宋体" w:cs="宋体"/>
                <w:b/>
                <w:bCs/>
                <w:kern w:val="0"/>
                <w:sz w:val="21"/>
                <w:szCs w:val="21"/>
                <w:highlight w:val="yellow"/>
              </w:rPr>
              <w:t>★1.1主要尺度及线型要素</w:t>
            </w:r>
          </w:p>
          <w:p w14:paraId="1E323EAB">
            <w:pPr>
              <w:spacing w:line="360" w:lineRule="auto"/>
              <w:rPr>
                <w:rFonts w:hint="eastAsia" w:ascii="宋体" w:eastAsia="宋体" w:cs="宋体"/>
                <w:b/>
                <w:bCs/>
                <w:sz w:val="21"/>
                <w:szCs w:val="21"/>
                <w:highlight w:val="yellow"/>
              </w:rPr>
            </w:pPr>
            <w:r>
              <w:rPr>
                <w:rFonts w:hint="eastAsia" w:ascii="宋体" w:eastAsia="宋体" w:cs="宋体"/>
                <w:b/>
                <w:bCs/>
                <w:sz w:val="21"/>
                <w:szCs w:val="21"/>
                <w:highlight w:val="yellow"/>
              </w:rPr>
              <w:t>（</w:t>
            </w:r>
            <w:r>
              <w:rPr>
                <w:rFonts w:hint="eastAsia" w:ascii="宋体" w:cs="宋体"/>
                <w:b/>
                <w:bCs/>
                <w:sz w:val="21"/>
                <w:szCs w:val="21"/>
                <w:highlight w:val="yellow"/>
                <w:lang w:val="en-US" w:eastAsia="zh-CN"/>
              </w:rPr>
              <w:t>1</w:t>
            </w:r>
            <w:r>
              <w:rPr>
                <w:rFonts w:hint="eastAsia" w:ascii="宋体" w:eastAsia="宋体" w:cs="宋体"/>
                <w:b/>
                <w:bCs/>
                <w:sz w:val="21"/>
                <w:szCs w:val="21"/>
                <w:highlight w:val="yellow"/>
              </w:rPr>
              <w:t>）</w:t>
            </w:r>
            <w:r>
              <w:rPr>
                <w:rFonts w:hint="eastAsia" w:ascii="宋体" w:eastAsia="宋体" w:cs="宋体"/>
                <w:b/>
                <w:bCs/>
                <w:kern w:val="0"/>
                <w:sz w:val="21"/>
                <w:szCs w:val="21"/>
                <w:highlight w:val="yellow"/>
              </w:rPr>
              <w:t>总长：11.00米-12.50米；船宽：3.00米-3.30米；型深：1.5米-1.7米</w:t>
            </w:r>
            <w:r>
              <w:rPr>
                <w:rFonts w:hint="eastAsia" w:ascii="宋体" w:cs="宋体"/>
                <w:b/>
                <w:bCs/>
                <w:kern w:val="0"/>
                <w:sz w:val="21"/>
                <w:szCs w:val="21"/>
                <w:highlight w:val="yellow"/>
                <w:lang w:val="en-US" w:eastAsia="zh-CN"/>
              </w:rPr>
              <w:t>(以上范围</w:t>
            </w:r>
            <w:r>
              <w:rPr>
                <w:rFonts w:hint="eastAsia"/>
                <w:b/>
                <w:bCs/>
                <w:highlight w:val="yellow"/>
                <w:lang w:val="en-US" w:eastAsia="zh-CN"/>
              </w:rPr>
              <w:t>内</w:t>
            </w:r>
            <w:r>
              <w:rPr>
                <w:rFonts w:hint="eastAsia" w:ascii="宋体" w:cs="宋体"/>
                <w:b/>
                <w:bCs/>
                <w:kern w:val="0"/>
                <w:sz w:val="21"/>
                <w:szCs w:val="21"/>
                <w:highlight w:val="yellow"/>
                <w:lang w:val="en-US" w:eastAsia="zh-CN"/>
              </w:rPr>
              <w:t>任意值均可，但不包含突出物的长度）</w:t>
            </w:r>
            <w:r>
              <w:rPr>
                <w:rFonts w:hint="eastAsia" w:ascii="宋体" w:eastAsia="宋体" w:cs="宋体"/>
                <w:b/>
                <w:bCs/>
                <w:kern w:val="0"/>
                <w:sz w:val="21"/>
                <w:szCs w:val="21"/>
                <w:highlight w:val="yellow"/>
              </w:rPr>
              <w:t>；用于承担海域内海事公务巡逻、海上救援、突发事件应急响应与处置等综合执法任务执行海岸辖区内水上维权执法、海事管理、应急救援等任务。适用于沿海平静水域日间、夜间航行要求。</w:t>
            </w:r>
          </w:p>
          <w:p w14:paraId="4B37CD3C">
            <w:pPr>
              <w:spacing w:line="360" w:lineRule="auto"/>
              <w:rPr>
                <w:rFonts w:hint="eastAsia" w:ascii="宋体" w:eastAsia="宋体" w:cs="宋体"/>
                <w:b/>
                <w:bCs/>
                <w:sz w:val="21"/>
                <w:szCs w:val="21"/>
                <w:highlight w:val="yellow"/>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2</w:t>
            </w:r>
            <w:r>
              <w:rPr>
                <w:rFonts w:hint="eastAsia" w:ascii="宋体" w:eastAsia="宋体" w:cs="宋体"/>
                <w:b/>
                <w:bCs/>
                <w:kern w:val="0"/>
                <w:sz w:val="21"/>
                <w:szCs w:val="21"/>
                <w:highlight w:val="yellow"/>
              </w:rPr>
              <w:t>）满载吃水：0.50米～0.80米</w:t>
            </w:r>
            <w:r>
              <w:rPr>
                <w:rFonts w:hint="eastAsia"/>
                <w:b/>
                <w:bCs/>
                <w:highlight w:val="yellow"/>
              </w:rPr>
              <w:t>（以上范围内任意值均可）</w:t>
            </w:r>
            <w:r>
              <w:rPr>
                <w:rFonts w:hint="eastAsia" w:ascii="宋体" w:eastAsia="宋体" w:cs="宋体"/>
                <w:b/>
                <w:bCs/>
                <w:kern w:val="0"/>
                <w:sz w:val="21"/>
                <w:szCs w:val="21"/>
                <w:highlight w:val="yellow"/>
              </w:rPr>
              <w:t>。</w:t>
            </w:r>
          </w:p>
          <w:p w14:paraId="4FD84A6E">
            <w:pPr>
              <w:spacing w:line="360" w:lineRule="auto"/>
              <w:rPr>
                <w:rFonts w:hint="eastAsia" w:ascii="宋体" w:eastAsia="宋体" w:cs="宋体"/>
                <w:b/>
                <w:bCs/>
                <w:sz w:val="21"/>
                <w:szCs w:val="21"/>
                <w:highlight w:val="yellow"/>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3</w:t>
            </w:r>
            <w:r>
              <w:rPr>
                <w:rFonts w:hint="eastAsia" w:ascii="宋体" w:eastAsia="宋体" w:cs="宋体"/>
                <w:b/>
                <w:bCs/>
                <w:kern w:val="0"/>
                <w:sz w:val="21"/>
                <w:szCs w:val="21"/>
                <w:highlight w:val="yellow"/>
              </w:rPr>
              <w:t>）排水量：6-9吨</w:t>
            </w:r>
            <w:r>
              <w:rPr>
                <w:rFonts w:hint="eastAsia"/>
                <w:b/>
                <w:bCs/>
                <w:highlight w:val="yellow"/>
              </w:rPr>
              <w:t>（以上范围内任意值均可）</w:t>
            </w:r>
            <w:r>
              <w:rPr>
                <w:rFonts w:hint="eastAsia" w:ascii="宋体" w:eastAsia="宋体" w:cs="宋体"/>
                <w:b/>
                <w:bCs/>
                <w:kern w:val="0"/>
                <w:sz w:val="21"/>
                <w:szCs w:val="21"/>
                <w:highlight w:val="yellow"/>
              </w:rPr>
              <w:t>。</w:t>
            </w:r>
          </w:p>
          <w:p w14:paraId="28E37FF4">
            <w:pPr>
              <w:spacing w:line="360" w:lineRule="auto"/>
              <w:rPr>
                <w:rFonts w:hint="eastAsia" w:ascii="宋体" w:eastAsia="宋体" w:cs="宋体"/>
                <w:b/>
                <w:bCs/>
                <w:sz w:val="21"/>
                <w:szCs w:val="21"/>
                <w:highlight w:val="yellow"/>
              </w:rPr>
            </w:pPr>
            <w:r>
              <w:rPr>
                <w:rFonts w:hint="eastAsia" w:ascii="宋体" w:cs="宋体"/>
                <w:b/>
                <w:bCs/>
                <w:kern w:val="0"/>
                <w:sz w:val="21"/>
                <w:szCs w:val="21"/>
                <w:highlight w:val="yellow"/>
                <w:lang w:eastAsia="zh-CN"/>
              </w:rPr>
              <w:t>（</w:t>
            </w:r>
            <w:r>
              <w:rPr>
                <w:rFonts w:hint="eastAsia" w:ascii="宋体" w:cs="宋体"/>
                <w:b/>
                <w:bCs/>
                <w:kern w:val="0"/>
                <w:sz w:val="21"/>
                <w:szCs w:val="21"/>
                <w:highlight w:val="yellow"/>
                <w:lang w:val="en-US" w:eastAsia="zh-CN"/>
              </w:rPr>
              <w:t>4</w:t>
            </w:r>
            <w:r>
              <w:rPr>
                <w:rFonts w:hint="eastAsia" w:ascii="宋体" w:eastAsia="宋体" w:cs="宋体"/>
                <w:b/>
                <w:bCs/>
                <w:kern w:val="0"/>
                <w:sz w:val="21"/>
                <w:szCs w:val="21"/>
                <w:highlight w:val="yellow"/>
              </w:rPr>
              <w:t>）定员：8人（船员2人，乘员6人）。</w:t>
            </w:r>
          </w:p>
          <w:p w14:paraId="39094698">
            <w:pPr>
              <w:spacing w:line="360" w:lineRule="auto"/>
              <w:rPr>
                <w:rFonts w:hint="eastAsia" w:ascii="宋体" w:eastAsia="宋体" w:cs="宋体"/>
                <w:b/>
                <w:bCs/>
                <w:sz w:val="21"/>
                <w:szCs w:val="21"/>
                <w:highlight w:val="yellow"/>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5</w:t>
            </w:r>
            <w:r>
              <w:rPr>
                <w:rFonts w:hint="eastAsia" w:ascii="宋体" w:eastAsia="宋体" w:cs="宋体"/>
                <w:b/>
                <w:bCs/>
                <w:kern w:val="0"/>
                <w:sz w:val="21"/>
                <w:szCs w:val="21"/>
                <w:highlight w:val="yellow"/>
              </w:rPr>
              <w:t>）燃油：</w:t>
            </w:r>
            <w:r>
              <w:rPr>
                <w:rFonts w:hint="eastAsia" w:ascii="宋体" w:cs="宋体"/>
                <w:b/>
                <w:bCs/>
                <w:kern w:val="0"/>
                <w:sz w:val="21"/>
                <w:szCs w:val="21"/>
                <w:highlight w:val="yellow"/>
                <w:lang w:val="en-US" w:eastAsia="zh-CN"/>
              </w:rPr>
              <w:t>不小于</w:t>
            </w:r>
            <w:r>
              <w:rPr>
                <w:rFonts w:hint="eastAsia" w:ascii="宋体" w:eastAsia="宋体" w:cs="宋体"/>
                <w:b/>
                <w:bCs/>
                <w:kern w:val="0"/>
                <w:sz w:val="21"/>
                <w:szCs w:val="21"/>
                <w:highlight w:val="yellow"/>
              </w:rPr>
              <w:t>1300升。</w:t>
            </w:r>
          </w:p>
          <w:p w14:paraId="6976F53A">
            <w:pPr>
              <w:spacing w:line="360" w:lineRule="auto"/>
              <w:rPr>
                <w:rFonts w:hint="eastAsia" w:ascii="宋体" w:eastAsia="宋体" w:cs="宋体"/>
                <w:b/>
                <w:bCs/>
                <w:sz w:val="21"/>
                <w:szCs w:val="21"/>
                <w:highlight w:val="yellow"/>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6</w:t>
            </w:r>
            <w:r>
              <w:rPr>
                <w:rFonts w:hint="eastAsia" w:ascii="宋体" w:eastAsia="宋体" w:cs="宋体"/>
                <w:b/>
                <w:bCs/>
                <w:kern w:val="0"/>
                <w:sz w:val="21"/>
                <w:szCs w:val="21"/>
                <w:highlight w:val="yellow"/>
              </w:rPr>
              <w:t>）在正常排水量状态，静水中，风力不大于蒲氏3级，船艇主机以最大转速运行时，最高航速不低于40节（74km/h）。</w:t>
            </w:r>
          </w:p>
          <w:p w14:paraId="773F0747">
            <w:pPr>
              <w:spacing w:line="360" w:lineRule="auto"/>
              <w:rPr>
                <w:rFonts w:hint="eastAsia" w:ascii="宋体" w:eastAsia="宋体" w:cs="宋体"/>
                <w:b/>
                <w:bCs/>
                <w:kern w:val="0"/>
                <w:sz w:val="21"/>
                <w:szCs w:val="21"/>
                <w:highlight w:val="yellow"/>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7</w:t>
            </w:r>
            <w:r>
              <w:rPr>
                <w:rFonts w:hint="eastAsia" w:ascii="宋体" w:eastAsia="宋体" w:cs="宋体"/>
                <w:b/>
                <w:bCs/>
                <w:kern w:val="0"/>
                <w:sz w:val="21"/>
                <w:szCs w:val="21"/>
                <w:highlight w:val="yellow"/>
              </w:rPr>
              <w:t>）巡航速度：</w:t>
            </w:r>
            <w:r>
              <w:rPr>
                <w:rFonts w:hint="eastAsia" w:ascii="宋体" w:cs="宋体"/>
                <w:b/>
                <w:bCs/>
                <w:kern w:val="0"/>
                <w:sz w:val="21"/>
                <w:szCs w:val="21"/>
                <w:highlight w:val="yellow"/>
                <w:lang w:val="en-US" w:eastAsia="zh-CN"/>
              </w:rPr>
              <w:t>不小于25</w:t>
            </w:r>
            <w:r>
              <w:rPr>
                <w:rFonts w:hint="eastAsia" w:ascii="宋体" w:eastAsia="宋体" w:cs="宋体"/>
                <w:b/>
                <w:bCs/>
                <w:kern w:val="0"/>
                <w:sz w:val="21"/>
                <w:szCs w:val="21"/>
                <w:highlight w:val="yellow"/>
              </w:rPr>
              <w:t>节。</w:t>
            </w:r>
          </w:p>
          <w:p w14:paraId="168DACB3">
            <w:pPr>
              <w:spacing w:line="360" w:lineRule="auto"/>
              <w:rPr>
                <w:rFonts w:hint="eastAsia" w:ascii="宋体" w:eastAsia="宋体" w:cs="宋体"/>
                <w:kern w:val="0"/>
                <w:sz w:val="21"/>
                <w:szCs w:val="21"/>
                <w:highlight w:val="none"/>
              </w:rPr>
            </w:pPr>
            <w:r>
              <w:rPr>
                <w:rFonts w:hint="eastAsia" w:ascii="宋体" w:cs="宋体"/>
                <w:b/>
                <w:bCs/>
                <w:kern w:val="0"/>
                <w:sz w:val="21"/>
                <w:szCs w:val="21"/>
                <w:highlight w:val="yellow"/>
                <w:lang w:eastAsia="zh-CN"/>
              </w:rPr>
              <w:t>（</w:t>
            </w:r>
            <w:r>
              <w:rPr>
                <w:rFonts w:hint="eastAsia" w:ascii="宋体" w:cs="宋体"/>
                <w:b/>
                <w:bCs/>
                <w:kern w:val="0"/>
                <w:sz w:val="21"/>
                <w:szCs w:val="21"/>
                <w:highlight w:val="yellow"/>
                <w:lang w:val="en-US" w:eastAsia="zh-CN"/>
              </w:rPr>
              <w:t>8</w:t>
            </w:r>
            <w:r>
              <w:rPr>
                <w:rFonts w:hint="eastAsia" w:ascii="宋体" w:cs="宋体"/>
                <w:b/>
                <w:bCs/>
                <w:kern w:val="0"/>
                <w:sz w:val="21"/>
                <w:szCs w:val="21"/>
                <w:highlight w:val="yellow"/>
                <w:lang w:eastAsia="zh-CN"/>
              </w:rPr>
              <w:t>）</w:t>
            </w:r>
            <w:r>
              <w:rPr>
                <w:rFonts w:hint="eastAsia" w:ascii="宋体" w:eastAsia="宋体" w:cs="宋体"/>
                <w:b/>
                <w:bCs/>
                <w:kern w:val="0"/>
                <w:sz w:val="21"/>
                <w:szCs w:val="21"/>
                <w:highlight w:val="yellow"/>
              </w:rPr>
              <w:t>在满载排水量（满油）状态下，以巡航速度航行时，续航力不小于150海里（250公里）。</w:t>
            </w:r>
          </w:p>
        </w:tc>
      </w:tr>
      <w:tr w14:paraId="31CAD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707" w:type="dxa"/>
            <w:vMerge w:val="continue"/>
          </w:tcPr>
          <w:p w14:paraId="77F4E18B"/>
        </w:tc>
        <w:tc>
          <w:tcPr>
            <w:tcW w:w="1292" w:type="dxa"/>
            <w:vMerge w:val="continue"/>
          </w:tcPr>
          <w:p w14:paraId="5388DD75"/>
        </w:tc>
        <w:tc>
          <w:tcPr>
            <w:tcW w:w="6875" w:type="dxa"/>
          </w:tcPr>
          <w:p w14:paraId="350B180E">
            <w:pPr>
              <w:spacing w:line="360" w:lineRule="auto"/>
              <w:rPr>
                <w:rFonts w:hint="eastAsia" w:ascii="宋体" w:eastAsia="宋体" w:cs="宋体"/>
                <w:kern w:val="0"/>
                <w:sz w:val="21"/>
                <w:szCs w:val="21"/>
                <w:highlight w:val="none"/>
              </w:rPr>
            </w:pPr>
            <w:r>
              <w:rPr>
                <w:rFonts w:hint="eastAsia" w:ascii="宋体" w:cs="宋体"/>
                <w:kern w:val="0"/>
                <w:sz w:val="21"/>
                <w:szCs w:val="21"/>
                <w:highlight w:val="none"/>
                <w:lang w:val="en-US" w:eastAsia="zh-CN"/>
              </w:rPr>
              <w:t>1.2</w:t>
            </w:r>
            <w:r>
              <w:rPr>
                <w:rFonts w:hint="eastAsia" w:ascii="宋体" w:eastAsia="宋体" w:cs="宋体"/>
                <w:kern w:val="0"/>
                <w:sz w:val="21"/>
                <w:szCs w:val="21"/>
                <w:highlight w:val="none"/>
              </w:rPr>
              <w:t>航区：适航于</w:t>
            </w:r>
            <w:r>
              <w:rPr>
                <w:rFonts w:hint="eastAsia" w:ascii="宋体" w:cs="宋体"/>
                <w:kern w:val="0"/>
                <w:sz w:val="21"/>
                <w:szCs w:val="21"/>
                <w:highlight w:val="none"/>
                <w:lang w:val="en-US" w:eastAsia="zh-CN"/>
              </w:rPr>
              <w:t>我国</w:t>
            </w:r>
            <w:r>
              <w:rPr>
                <w:rFonts w:hint="eastAsia" w:ascii="宋体" w:eastAsia="宋体" w:cs="宋体"/>
                <w:kern w:val="0"/>
                <w:sz w:val="21"/>
                <w:szCs w:val="21"/>
                <w:highlight w:val="none"/>
              </w:rPr>
              <w:t>沿海平静水域。</w:t>
            </w:r>
          </w:p>
        </w:tc>
      </w:tr>
      <w:tr w14:paraId="108E9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7" w:type="dxa"/>
            <w:vMerge w:val="continue"/>
          </w:tcPr>
          <w:p w14:paraId="259E09BF"/>
        </w:tc>
        <w:tc>
          <w:tcPr>
            <w:tcW w:w="1292" w:type="dxa"/>
            <w:vMerge w:val="continue"/>
          </w:tcPr>
          <w:p w14:paraId="46CE385B"/>
        </w:tc>
        <w:tc>
          <w:tcPr>
            <w:tcW w:w="6875" w:type="dxa"/>
          </w:tcPr>
          <w:p w14:paraId="3DE2A675">
            <w:pPr>
              <w:spacing w:line="360" w:lineRule="auto"/>
              <w:rPr>
                <w:rFonts w:hint="eastAsia" w:ascii="宋体" w:eastAsia="宋体" w:cs="宋体"/>
                <w:b w:val="0"/>
                <w:bCs w:val="0"/>
                <w:kern w:val="0"/>
                <w:sz w:val="21"/>
                <w:szCs w:val="21"/>
                <w:highlight w:val="none"/>
              </w:rPr>
            </w:pPr>
            <w:r>
              <w:rPr>
                <w:rFonts w:hint="eastAsia" w:ascii="宋体" w:eastAsia="宋体" w:cs="宋体"/>
                <w:b w:val="0"/>
                <w:bCs w:val="0"/>
                <w:kern w:val="0"/>
                <w:sz w:val="21"/>
                <w:szCs w:val="21"/>
                <w:highlight w:val="none"/>
              </w:rPr>
              <w:t>1.</w:t>
            </w:r>
            <w:r>
              <w:rPr>
                <w:rFonts w:hint="eastAsia" w:ascii="宋体" w:cs="宋体"/>
                <w:b w:val="0"/>
                <w:bCs w:val="0"/>
                <w:kern w:val="0"/>
                <w:sz w:val="21"/>
                <w:szCs w:val="21"/>
                <w:highlight w:val="none"/>
                <w:lang w:val="en-US" w:eastAsia="zh-CN"/>
              </w:rPr>
              <w:t>3</w:t>
            </w:r>
            <w:r>
              <w:rPr>
                <w:rFonts w:hint="eastAsia" w:ascii="宋体" w:eastAsia="宋体" w:cs="宋体"/>
                <w:b w:val="0"/>
                <w:bCs w:val="0"/>
                <w:kern w:val="0"/>
                <w:sz w:val="21"/>
                <w:szCs w:val="21"/>
                <w:highlight w:val="none"/>
              </w:rPr>
              <w:t>续航力、航速：续航力：本艇以巡航（经济）航速航行时，其续航力不小于150海里（250公里）。</w:t>
            </w:r>
          </w:p>
          <w:p w14:paraId="68538214">
            <w:pPr>
              <w:spacing w:line="360" w:lineRule="auto"/>
              <w:rPr>
                <w:rFonts w:hint="eastAsia" w:ascii="宋体" w:eastAsia="宋体" w:cs="宋体"/>
                <w:kern w:val="0"/>
                <w:sz w:val="21"/>
                <w:szCs w:val="21"/>
                <w:highlight w:val="none"/>
              </w:rPr>
            </w:pPr>
            <w:r>
              <w:rPr>
                <w:rFonts w:hint="eastAsia" w:ascii="宋体" w:eastAsia="宋体" w:cs="宋体"/>
                <w:b w:val="0"/>
                <w:bCs w:val="0"/>
                <w:kern w:val="0"/>
                <w:sz w:val="21"/>
                <w:szCs w:val="21"/>
                <w:highlight w:val="none"/>
              </w:rPr>
              <w:t>航  速：</w:t>
            </w:r>
            <w:r>
              <w:rPr>
                <w:rFonts w:hint="eastAsia" w:ascii="宋体" w:cs="宋体"/>
                <w:b w:val="0"/>
                <w:bCs w:val="0"/>
                <w:kern w:val="0"/>
                <w:sz w:val="21"/>
                <w:szCs w:val="21"/>
                <w:highlight w:val="none"/>
                <w:lang w:val="en-US" w:eastAsia="zh-CN"/>
              </w:rPr>
              <w:t>公务艇</w:t>
            </w:r>
            <w:r>
              <w:rPr>
                <w:rFonts w:hint="eastAsia" w:ascii="宋体" w:eastAsia="宋体" w:cs="宋体"/>
                <w:b w:val="0"/>
                <w:bCs w:val="0"/>
                <w:kern w:val="0"/>
                <w:sz w:val="21"/>
                <w:szCs w:val="21"/>
                <w:highlight w:val="none"/>
              </w:rPr>
              <w:t>在满载排水量时，主机额定功率、平静海况、水深大于3米，最大试航速度不低于40节（74km/h）。</w:t>
            </w:r>
          </w:p>
        </w:tc>
      </w:tr>
      <w:tr w14:paraId="18B2B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707" w:type="dxa"/>
            <w:vMerge w:val="continue"/>
          </w:tcPr>
          <w:p w14:paraId="60309AD2"/>
        </w:tc>
        <w:tc>
          <w:tcPr>
            <w:tcW w:w="1292" w:type="dxa"/>
            <w:vMerge w:val="continue"/>
          </w:tcPr>
          <w:p w14:paraId="71B6A545"/>
        </w:tc>
        <w:tc>
          <w:tcPr>
            <w:tcW w:w="6875" w:type="dxa"/>
          </w:tcPr>
          <w:p w14:paraId="2A5A2927">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1.</w:t>
            </w:r>
            <w:r>
              <w:rPr>
                <w:rFonts w:hint="eastAsia" w:ascii="宋体" w:cs="宋体"/>
                <w:kern w:val="0"/>
                <w:sz w:val="21"/>
                <w:szCs w:val="21"/>
                <w:highlight w:val="none"/>
                <w:lang w:val="en-US" w:eastAsia="zh-CN"/>
              </w:rPr>
              <w:t>4</w:t>
            </w:r>
            <w:r>
              <w:rPr>
                <w:rFonts w:hint="eastAsia" w:ascii="宋体" w:eastAsia="宋体" w:cs="宋体"/>
                <w:kern w:val="0"/>
                <w:sz w:val="21"/>
                <w:szCs w:val="21"/>
                <w:highlight w:val="none"/>
              </w:rPr>
              <w:t>完整稳性和抗风能力：</w:t>
            </w: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需求的完整稳性满足中华人民共和国海事局《国内航行小型海船技术规则》（2024）对沿海航区平静水域之要求。</w:t>
            </w:r>
          </w:p>
        </w:tc>
      </w:tr>
      <w:tr w14:paraId="505F1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07" w:type="dxa"/>
            <w:vMerge w:val="continue"/>
          </w:tcPr>
          <w:p w14:paraId="40B65571"/>
        </w:tc>
        <w:tc>
          <w:tcPr>
            <w:tcW w:w="1292" w:type="dxa"/>
            <w:vMerge w:val="continue"/>
          </w:tcPr>
          <w:p w14:paraId="6B50784E"/>
        </w:tc>
        <w:tc>
          <w:tcPr>
            <w:tcW w:w="6875" w:type="dxa"/>
          </w:tcPr>
          <w:p w14:paraId="4ADA208F">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1.</w:t>
            </w:r>
            <w:r>
              <w:rPr>
                <w:rFonts w:hint="eastAsia" w:ascii="宋体" w:cs="宋体"/>
                <w:kern w:val="0"/>
                <w:sz w:val="21"/>
                <w:szCs w:val="21"/>
                <w:highlight w:val="none"/>
                <w:lang w:val="en-US" w:eastAsia="zh-CN"/>
              </w:rPr>
              <w:t>5</w:t>
            </w:r>
            <w:r>
              <w:rPr>
                <w:rFonts w:hint="eastAsia" w:ascii="宋体" w:eastAsia="宋体" w:cs="宋体"/>
                <w:kern w:val="0"/>
                <w:sz w:val="21"/>
                <w:szCs w:val="21"/>
                <w:highlight w:val="none"/>
              </w:rPr>
              <w:t>不沉性：</w:t>
            </w: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需求的不沉性应满足中华人民共和国海事局《国内航行小型海船技术规则》（2024）对不沉性的要求。</w:t>
            </w:r>
          </w:p>
        </w:tc>
      </w:tr>
      <w:tr w14:paraId="5ED34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707" w:type="dxa"/>
            <w:vMerge w:val="continue"/>
          </w:tcPr>
          <w:p w14:paraId="2250B22C"/>
        </w:tc>
        <w:tc>
          <w:tcPr>
            <w:tcW w:w="1292" w:type="dxa"/>
            <w:vMerge w:val="continue"/>
          </w:tcPr>
          <w:p w14:paraId="5811E5F6"/>
        </w:tc>
        <w:tc>
          <w:tcPr>
            <w:tcW w:w="6875" w:type="dxa"/>
          </w:tcPr>
          <w:p w14:paraId="5C0F185E">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2.总布置：</w:t>
            </w: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系自艏至艉连续甲板的敞开艇。</w:t>
            </w:r>
          </w:p>
        </w:tc>
      </w:tr>
      <w:tr w14:paraId="5401D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trPr>
        <w:tc>
          <w:tcPr>
            <w:tcW w:w="707" w:type="dxa"/>
            <w:vMerge w:val="continue"/>
          </w:tcPr>
          <w:p w14:paraId="4FB73F33"/>
        </w:tc>
        <w:tc>
          <w:tcPr>
            <w:tcW w:w="1292" w:type="dxa"/>
            <w:vMerge w:val="continue"/>
          </w:tcPr>
          <w:p w14:paraId="49F0C389"/>
        </w:tc>
        <w:tc>
          <w:tcPr>
            <w:tcW w:w="6875" w:type="dxa"/>
          </w:tcPr>
          <w:p w14:paraId="5CF5E907">
            <w:pPr>
              <w:spacing w:line="360" w:lineRule="auto"/>
              <w:rPr>
                <w:rFonts w:hint="eastAsia" w:ascii="宋体" w:eastAsia="宋体" w:cs="宋体"/>
                <w:kern w:val="0"/>
                <w:sz w:val="21"/>
                <w:szCs w:val="21"/>
                <w:highlight w:val="none"/>
              </w:rPr>
            </w:pPr>
            <w:r>
              <w:rPr>
                <w:rFonts w:ascii="宋体" w:eastAsia="宋体"/>
                <w:b/>
                <w:bCs/>
                <w:color w:val="auto"/>
                <w:szCs w:val="21"/>
              </w:rPr>
              <w:t>▲</w:t>
            </w:r>
            <w:r>
              <w:rPr>
                <w:rFonts w:hint="eastAsia" w:ascii="宋体" w:eastAsia="宋体" w:cs="宋体"/>
                <w:b/>
                <w:bCs/>
                <w:kern w:val="0"/>
                <w:sz w:val="21"/>
                <w:szCs w:val="21"/>
                <w:highlight w:val="none"/>
              </w:rPr>
              <w:t>2.1主艇体：（1）艇体和甲板间由四道水密舱壁和一道普通舱壁划分为6个舱室，由艉至艏依此为：尾舱、燃油舱、乘员驾驶舱（带遮阳蓬、挡风玻璃）、艏舱和艏尖舱。</w:t>
            </w:r>
          </w:p>
        </w:tc>
      </w:tr>
      <w:tr w14:paraId="7E0A8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707" w:type="dxa"/>
            <w:vMerge w:val="continue"/>
          </w:tcPr>
          <w:p w14:paraId="3269611F"/>
        </w:tc>
        <w:tc>
          <w:tcPr>
            <w:tcW w:w="1292" w:type="dxa"/>
            <w:vMerge w:val="continue"/>
          </w:tcPr>
          <w:p w14:paraId="676463F9"/>
        </w:tc>
        <w:tc>
          <w:tcPr>
            <w:tcW w:w="6875" w:type="dxa"/>
          </w:tcPr>
          <w:p w14:paraId="232C4FCA">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2.2敞开甲板室</w:t>
            </w:r>
          </w:p>
          <w:p w14:paraId="1DDA9A94">
            <w:pPr>
              <w:spacing w:line="360" w:lineRule="auto"/>
              <w:rPr>
                <w:rFonts w:hint="eastAsia" w:ascii="宋体" w:eastAsia="宋体" w:cs="宋体"/>
                <w:kern w:val="0"/>
                <w:sz w:val="21"/>
                <w:szCs w:val="21"/>
                <w:highlight w:val="none"/>
              </w:rPr>
            </w:pPr>
            <w:r>
              <w:rPr>
                <w:rFonts w:hint="eastAsia" w:ascii="宋体" w:eastAsia="宋体" w:cs="宋体"/>
                <w:color w:val="auto"/>
                <w:kern w:val="0"/>
                <w:sz w:val="21"/>
                <w:szCs w:val="21"/>
                <w:highlight w:val="none"/>
              </w:rPr>
              <w:t>（1）</w:t>
            </w:r>
            <w:r>
              <w:rPr>
                <w:rFonts w:hint="eastAsia" w:ascii="宋体" w:eastAsia="宋体" w:cs="宋体"/>
                <w:color w:val="auto"/>
                <w:kern w:val="0"/>
                <w:sz w:val="21"/>
                <w:szCs w:val="21"/>
                <w:highlight w:val="none"/>
                <w:lang w:val="en-US" w:eastAsia="zh-CN"/>
              </w:rPr>
              <w:t>公务艇</w:t>
            </w:r>
            <w:r>
              <w:rPr>
                <w:rFonts w:hint="eastAsia" w:ascii="宋体" w:eastAsia="宋体" w:cs="宋体"/>
                <w:color w:val="auto"/>
                <w:kern w:val="0"/>
                <w:sz w:val="21"/>
                <w:szCs w:val="21"/>
                <w:highlight w:val="none"/>
              </w:rPr>
              <w:t>甲板室为敞开艇，驾驶舱为敞开式，正副驾驶位置采用可骑马式减震座椅，驾驶舱后排作为均采用减震骑马座椅。</w:t>
            </w:r>
          </w:p>
        </w:tc>
      </w:tr>
      <w:tr w14:paraId="5B85B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07" w:type="dxa"/>
            <w:vMerge w:val="continue"/>
          </w:tcPr>
          <w:p w14:paraId="1649C36B"/>
        </w:tc>
        <w:tc>
          <w:tcPr>
            <w:tcW w:w="1292" w:type="dxa"/>
            <w:vMerge w:val="continue"/>
          </w:tcPr>
          <w:p w14:paraId="2CDBDC15"/>
        </w:tc>
        <w:tc>
          <w:tcPr>
            <w:tcW w:w="6875" w:type="dxa"/>
          </w:tcPr>
          <w:p w14:paraId="36D434EF">
            <w:pPr>
              <w:spacing w:line="360" w:lineRule="auto"/>
              <w:rPr>
                <w:rFonts w:hint="eastAsia" w:ascii="宋体" w:eastAsia="宋体" w:cs="宋体"/>
                <w:color w:val="auto"/>
                <w:kern w:val="0"/>
                <w:sz w:val="21"/>
                <w:szCs w:val="21"/>
                <w:highlight w:val="none"/>
              </w:rPr>
            </w:pPr>
            <w:r>
              <w:rPr>
                <w:rFonts w:hint="eastAsia" w:ascii="宋体" w:eastAsia="宋体" w:cs="宋体"/>
                <w:color w:val="auto"/>
                <w:kern w:val="0"/>
                <w:sz w:val="21"/>
                <w:szCs w:val="21"/>
                <w:highlight w:val="none"/>
              </w:rPr>
              <w:t>2.3主甲板面</w:t>
            </w:r>
          </w:p>
          <w:p w14:paraId="435330E8">
            <w:pPr>
              <w:spacing w:line="360" w:lineRule="auto"/>
              <w:rPr>
                <w:rFonts w:hint="eastAsia" w:ascii="宋体" w:eastAsia="宋体" w:cs="宋体"/>
                <w:color w:val="auto"/>
                <w:kern w:val="0"/>
                <w:sz w:val="21"/>
                <w:szCs w:val="21"/>
                <w:highlight w:val="none"/>
              </w:rPr>
            </w:pPr>
            <w:r>
              <w:rPr>
                <w:rFonts w:hint="eastAsia" w:ascii="宋体" w:eastAsia="宋体" w:cs="宋体"/>
                <w:color w:val="auto"/>
                <w:kern w:val="0"/>
                <w:sz w:val="21"/>
                <w:szCs w:val="21"/>
                <w:highlight w:val="none"/>
              </w:rPr>
              <w:t>（1）</w:t>
            </w:r>
            <w:r>
              <w:rPr>
                <w:rFonts w:hint="eastAsia" w:ascii="宋体" w:eastAsia="宋体" w:cs="宋体"/>
                <w:color w:val="auto"/>
                <w:kern w:val="0"/>
                <w:sz w:val="21"/>
                <w:szCs w:val="21"/>
                <w:highlight w:val="none"/>
                <w:lang w:val="en-US" w:eastAsia="zh-CN"/>
              </w:rPr>
              <w:t>公务艇</w:t>
            </w:r>
            <w:r>
              <w:rPr>
                <w:rFonts w:hint="eastAsia" w:ascii="宋体" w:eastAsia="宋体" w:cs="宋体"/>
                <w:color w:val="auto"/>
                <w:kern w:val="0"/>
                <w:sz w:val="21"/>
                <w:szCs w:val="21"/>
                <w:highlight w:val="none"/>
              </w:rPr>
              <w:t>舱室为下沉式敞开甲板，舱室中间设8张座椅；</w:t>
            </w:r>
          </w:p>
          <w:p w14:paraId="4ACAC79C">
            <w:pPr>
              <w:spacing w:line="360" w:lineRule="auto"/>
              <w:rPr>
                <w:rFonts w:hint="eastAsia" w:ascii="宋体" w:eastAsia="宋体" w:cs="宋体"/>
                <w:kern w:val="0"/>
                <w:sz w:val="21"/>
                <w:szCs w:val="21"/>
                <w:highlight w:val="none"/>
              </w:rPr>
            </w:pPr>
            <w:r>
              <w:rPr>
                <w:rFonts w:hint="eastAsia" w:ascii="宋体" w:eastAsia="宋体" w:cs="宋体"/>
                <w:color w:val="auto"/>
                <w:kern w:val="0"/>
                <w:sz w:val="21"/>
                <w:szCs w:val="21"/>
                <w:highlight w:val="none"/>
              </w:rPr>
              <w:t>（2）甲板艉部设挂机，四周设缆桩、扶栏、旗杆和平台等。</w:t>
            </w:r>
          </w:p>
        </w:tc>
      </w:tr>
      <w:tr w14:paraId="0237E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707" w:type="dxa"/>
            <w:vMerge w:val="continue"/>
          </w:tcPr>
          <w:p w14:paraId="42EB9A7C"/>
        </w:tc>
        <w:tc>
          <w:tcPr>
            <w:tcW w:w="1292" w:type="dxa"/>
            <w:vMerge w:val="continue"/>
          </w:tcPr>
          <w:p w14:paraId="1F304852"/>
        </w:tc>
        <w:tc>
          <w:tcPr>
            <w:tcW w:w="6875" w:type="dxa"/>
          </w:tcPr>
          <w:p w14:paraId="274884DC">
            <w:pPr>
              <w:spacing w:line="360" w:lineRule="auto"/>
              <w:rPr>
                <w:rFonts w:hint="eastAsia" w:ascii="宋体" w:eastAsia="宋体" w:cs="宋体"/>
                <w:color w:val="auto"/>
                <w:kern w:val="0"/>
                <w:sz w:val="21"/>
                <w:szCs w:val="21"/>
                <w:highlight w:val="none"/>
              </w:rPr>
            </w:pPr>
            <w:r>
              <w:rPr>
                <w:rFonts w:hint="eastAsia" w:ascii="宋体" w:eastAsia="宋体" w:cs="宋体"/>
                <w:color w:val="auto"/>
                <w:kern w:val="0"/>
                <w:sz w:val="21"/>
                <w:szCs w:val="21"/>
                <w:highlight w:val="none"/>
              </w:rPr>
              <w:t>2.4甲板室顶蓬</w:t>
            </w:r>
          </w:p>
          <w:p w14:paraId="2DD8D7BB">
            <w:pPr>
              <w:numPr>
                <w:ilvl w:val="0"/>
                <w:numId w:val="11"/>
              </w:numPr>
              <w:spacing w:line="360" w:lineRule="auto"/>
              <w:rPr>
                <w:rFonts w:hint="eastAsia" w:ascii="宋体" w:eastAsia="宋体" w:cs="宋体"/>
                <w:kern w:val="0"/>
                <w:sz w:val="21"/>
                <w:szCs w:val="21"/>
                <w:highlight w:val="none"/>
              </w:rPr>
            </w:pPr>
            <w:r>
              <w:rPr>
                <w:rFonts w:hint="eastAsia" w:ascii="宋体" w:eastAsia="宋体" w:cs="宋体"/>
                <w:color w:val="auto"/>
                <w:kern w:val="0"/>
                <w:sz w:val="21"/>
                <w:szCs w:val="21"/>
                <w:highlight w:val="none"/>
              </w:rPr>
              <w:t>遮阳顶蓬前端设搜索灯、左右舷灯，顶蓬中后部设铝制桅杆，架上设有雷达天线、避雷针等。</w:t>
            </w:r>
          </w:p>
        </w:tc>
      </w:tr>
      <w:tr w14:paraId="7D8B1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707" w:type="dxa"/>
            <w:vMerge w:val="continue"/>
          </w:tcPr>
          <w:p w14:paraId="4BC8817F"/>
        </w:tc>
        <w:tc>
          <w:tcPr>
            <w:tcW w:w="1292" w:type="dxa"/>
            <w:vMerge w:val="continue"/>
          </w:tcPr>
          <w:p w14:paraId="4BADB113"/>
        </w:tc>
        <w:tc>
          <w:tcPr>
            <w:tcW w:w="6875" w:type="dxa"/>
          </w:tcPr>
          <w:p w14:paraId="5309A508">
            <w:pPr>
              <w:spacing w:line="360" w:lineRule="auto"/>
              <w:rPr>
                <w:rFonts w:hint="eastAsia" w:ascii="宋体" w:eastAsia="宋体" w:cs="宋体"/>
                <w:b/>
                <w:bCs/>
                <w:color w:val="auto"/>
                <w:kern w:val="0"/>
                <w:sz w:val="21"/>
                <w:szCs w:val="21"/>
                <w:highlight w:val="none"/>
              </w:rPr>
            </w:pPr>
            <w:r>
              <w:rPr>
                <w:rFonts w:ascii="宋体" w:eastAsia="宋体"/>
                <w:b/>
                <w:bCs/>
                <w:color w:val="auto"/>
                <w:szCs w:val="21"/>
              </w:rPr>
              <w:t>▲</w:t>
            </w:r>
            <w:r>
              <w:rPr>
                <w:rFonts w:hint="eastAsia" w:ascii="宋体" w:eastAsia="宋体" w:cs="宋体"/>
                <w:b/>
                <w:bCs/>
                <w:color w:val="auto"/>
                <w:kern w:val="0"/>
                <w:sz w:val="21"/>
                <w:szCs w:val="21"/>
                <w:highlight w:val="none"/>
              </w:rPr>
              <w:t>3.船体结构及材料</w:t>
            </w:r>
          </w:p>
          <w:p w14:paraId="1D2DA028">
            <w:pPr>
              <w:spacing w:line="360" w:lineRule="auto"/>
              <w:rPr>
                <w:rFonts w:hint="eastAsia" w:ascii="宋体" w:eastAsia="宋体" w:cs="宋体"/>
                <w:b/>
                <w:bCs/>
                <w:color w:val="auto"/>
                <w:kern w:val="0"/>
                <w:sz w:val="21"/>
                <w:szCs w:val="21"/>
                <w:highlight w:val="none"/>
              </w:rPr>
            </w:pPr>
            <w:r>
              <w:rPr>
                <w:rFonts w:hint="eastAsia" w:ascii="宋体" w:eastAsia="宋体" w:cs="宋体"/>
                <w:b/>
                <w:bCs/>
                <w:color w:val="auto"/>
                <w:kern w:val="0"/>
                <w:sz w:val="21"/>
                <w:szCs w:val="21"/>
                <w:highlight w:val="none"/>
              </w:rPr>
              <w:t>（1）全艇为全焊接铝合金结构；铝合金板材为5083H116型，铝合金型材为6082T6。</w:t>
            </w:r>
          </w:p>
          <w:p w14:paraId="6BD78AAA">
            <w:pPr>
              <w:spacing w:line="360" w:lineRule="auto"/>
              <w:rPr>
                <w:rFonts w:hint="eastAsia" w:ascii="宋体" w:eastAsia="宋体" w:cs="宋体"/>
                <w:kern w:val="0"/>
                <w:sz w:val="21"/>
                <w:szCs w:val="21"/>
                <w:highlight w:val="none"/>
              </w:rPr>
            </w:pPr>
            <w:r>
              <w:rPr>
                <w:rFonts w:hint="eastAsia" w:ascii="宋体" w:eastAsia="宋体" w:cs="宋体"/>
                <w:b/>
                <w:bCs/>
                <w:color w:val="auto"/>
                <w:kern w:val="0"/>
                <w:sz w:val="21"/>
                <w:szCs w:val="21"/>
                <w:highlight w:val="none"/>
              </w:rPr>
              <w:t>（2）</w:t>
            </w:r>
            <w:r>
              <w:rPr>
                <w:rFonts w:hint="eastAsia" w:ascii="宋体" w:cs="宋体"/>
                <w:b/>
                <w:bCs/>
                <w:color w:val="auto"/>
                <w:kern w:val="0"/>
                <w:sz w:val="21"/>
                <w:szCs w:val="21"/>
                <w:highlight w:val="none"/>
                <w:lang w:val="en-US" w:eastAsia="zh-CN"/>
              </w:rPr>
              <w:t>公务艇</w:t>
            </w:r>
            <w:r>
              <w:rPr>
                <w:rFonts w:hint="eastAsia" w:ascii="宋体" w:eastAsia="宋体" w:cs="宋体"/>
                <w:b/>
                <w:bCs/>
                <w:color w:val="auto"/>
                <w:kern w:val="0"/>
                <w:sz w:val="21"/>
                <w:szCs w:val="21"/>
                <w:highlight w:val="none"/>
              </w:rPr>
              <w:t>主艇体为纵骨架式结构。</w:t>
            </w:r>
          </w:p>
        </w:tc>
      </w:tr>
      <w:tr w14:paraId="1EE33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07" w:type="dxa"/>
            <w:vMerge w:val="continue"/>
          </w:tcPr>
          <w:p w14:paraId="00EF814D"/>
        </w:tc>
        <w:tc>
          <w:tcPr>
            <w:tcW w:w="1292" w:type="dxa"/>
            <w:vMerge w:val="continue"/>
          </w:tcPr>
          <w:p w14:paraId="6D7A67E5"/>
        </w:tc>
        <w:tc>
          <w:tcPr>
            <w:tcW w:w="6875" w:type="dxa"/>
          </w:tcPr>
          <w:p w14:paraId="4140DE80">
            <w:pPr>
              <w:spacing w:line="360" w:lineRule="auto"/>
              <w:rPr>
                <w:rFonts w:hint="eastAsia" w:ascii="宋体" w:eastAsia="宋体" w:cs="宋体"/>
                <w:b/>
                <w:bCs/>
                <w:kern w:val="0"/>
                <w:sz w:val="21"/>
                <w:szCs w:val="21"/>
                <w:highlight w:val="none"/>
              </w:rPr>
            </w:pPr>
            <w:r>
              <w:rPr>
                <w:rFonts w:ascii="宋体" w:eastAsia="宋体"/>
                <w:b/>
                <w:bCs/>
                <w:color w:val="auto"/>
                <w:szCs w:val="21"/>
              </w:rPr>
              <w:t>▲</w:t>
            </w:r>
            <w:r>
              <w:rPr>
                <w:rFonts w:hint="eastAsia" w:ascii="宋体" w:eastAsia="宋体" w:cs="宋体"/>
                <w:b/>
                <w:bCs/>
                <w:kern w:val="0"/>
                <w:sz w:val="21"/>
                <w:szCs w:val="21"/>
                <w:highlight w:val="none"/>
              </w:rPr>
              <w:t>4.船舶舾装</w:t>
            </w:r>
          </w:p>
          <w:p w14:paraId="311207F5">
            <w:pPr>
              <w:spacing w:line="360" w:lineRule="auto"/>
              <w:rPr>
                <w:rFonts w:hint="eastAsia" w:ascii="宋体" w:eastAsia="宋体" w:cs="宋体"/>
                <w:b/>
                <w:bCs/>
                <w:kern w:val="0"/>
                <w:sz w:val="21"/>
                <w:szCs w:val="21"/>
                <w:highlight w:val="none"/>
              </w:rPr>
            </w:pPr>
            <w:r>
              <w:rPr>
                <w:rFonts w:hint="eastAsia" w:ascii="宋体" w:eastAsia="宋体" w:cs="宋体"/>
                <w:b/>
                <w:bCs/>
                <w:kern w:val="0"/>
                <w:sz w:val="21"/>
                <w:szCs w:val="21"/>
                <w:highlight w:val="none"/>
              </w:rPr>
              <w:t>（1）锚设备：船艏</w:t>
            </w:r>
            <w:r>
              <w:rPr>
                <w:rFonts w:hint="eastAsia" w:ascii="宋体" w:cs="宋体"/>
                <w:b/>
                <w:bCs/>
                <w:kern w:val="0"/>
                <w:sz w:val="21"/>
                <w:szCs w:val="21"/>
                <w:highlight w:val="none"/>
                <w:lang w:val="en-US" w:eastAsia="zh-CN"/>
              </w:rPr>
              <w:t>不小于</w:t>
            </w:r>
            <w:r>
              <w:rPr>
                <w:rFonts w:hint="eastAsia" w:ascii="宋体" w:eastAsia="宋体" w:cs="宋体"/>
                <w:b/>
                <w:bCs/>
                <w:kern w:val="0"/>
                <w:sz w:val="21"/>
                <w:szCs w:val="21"/>
                <w:highlight w:val="none"/>
              </w:rPr>
              <w:t>25kg大抓力锚1口，锚绳选用φ22mm锦纶纤维锚索，长≥84m，航行时置于艏尖舱内。</w:t>
            </w:r>
          </w:p>
          <w:p w14:paraId="6EF54F06">
            <w:pPr>
              <w:spacing w:line="360" w:lineRule="auto"/>
              <w:rPr>
                <w:rFonts w:hint="eastAsia" w:ascii="宋体" w:eastAsia="宋体" w:cs="宋体"/>
                <w:b/>
                <w:bCs/>
                <w:kern w:val="0"/>
                <w:sz w:val="21"/>
                <w:szCs w:val="21"/>
                <w:highlight w:val="none"/>
              </w:rPr>
            </w:pPr>
            <w:r>
              <w:rPr>
                <w:rFonts w:hint="eastAsia" w:ascii="宋体" w:eastAsia="宋体" w:cs="宋体"/>
                <w:b/>
                <w:bCs/>
                <w:kern w:val="0"/>
                <w:sz w:val="21"/>
                <w:szCs w:val="21"/>
                <w:highlight w:val="none"/>
              </w:rPr>
              <w:t>（2）系泊设备：</w:t>
            </w:r>
            <w:r>
              <w:rPr>
                <w:rFonts w:hint="eastAsia" w:ascii="宋体" w:cs="宋体"/>
                <w:b/>
                <w:bCs/>
                <w:kern w:val="0"/>
                <w:sz w:val="21"/>
                <w:szCs w:val="21"/>
                <w:highlight w:val="none"/>
                <w:lang w:val="en-US" w:eastAsia="zh-CN"/>
              </w:rPr>
              <w:t>公务艇</w:t>
            </w:r>
            <w:r>
              <w:rPr>
                <w:rFonts w:hint="eastAsia" w:ascii="宋体" w:eastAsia="宋体" w:cs="宋体"/>
                <w:b/>
                <w:bCs/>
                <w:kern w:val="0"/>
                <w:sz w:val="21"/>
                <w:szCs w:val="21"/>
                <w:highlight w:val="none"/>
              </w:rPr>
              <w:t>艏艉两侧共装有铝合金单V字型系缆桩6只。首部配单十字缆桩1支。同时配备4个防碰球。</w:t>
            </w:r>
          </w:p>
          <w:p w14:paraId="53DBB7CF">
            <w:pPr>
              <w:spacing w:line="360" w:lineRule="auto"/>
              <w:rPr>
                <w:rFonts w:hint="eastAsia" w:ascii="宋体" w:eastAsia="宋体" w:cs="宋体"/>
                <w:kern w:val="0"/>
                <w:sz w:val="21"/>
                <w:szCs w:val="21"/>
                <w:highlight w:val="none"/>
              </w:rPr>
            </w:pPr>
            <w:r>
              <w:rPr>
                <w:rFonts w:hint="eastAsia" w:ascii="宋体" w:eastAsia="宋体" w:cs="宋体"/>
                <w:b/>
                <w:bCs/>
                <w:kern w:val="0"/>
                <w:sz w:val="21"/>
                <w:szCs w:val="21"/>
                <w:highlight w:val="none"/>
              </w:rPr>
              <w:t>配有φ22mm（破断负荷为</w:t>
            </w:r>
            <w:r>
              <w:rPr>
                <w:rFonts w:hint="eastAsia" w:ascii="宋体" w:cs="宋体"/>
                <w:b/>
                <w:bCs/>
                <w:kern w:val="0"/>
                <w:sz w:val="21"/>
                <w:szCs w:val="21"/>
                <w:highlight w:val="none"/>
                <w:lang w:val="en-US" w:eastAsia="zh-CN"/>
              </w:rPr>
              <w:t>不少于</w:t>
            </w:r>
            <w:r>
              <w:rPr>
                <w:rFonts w:hint="eastAsia" w:ascii="宋体" w:eastAsia="宋体" w:cs="宋体"/>
                <w:b/>
                <w:bCs/>
                <w:kern w:val="0"/>
                <w:sz w:val="21"/>
                <w:szCs w:val="21"/>
                <w:highlight w:val="none"/>
              </w:rPr>
              <w:t>51.9KN)锦纶系船索2根，每根长25m，总长50m。艏柱设拖环1只。</w:t>
            </w:r>
          </w:p>
        </w:tc>
      </w:tr>
      <w:tr w14:paraId="5E719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07" w:type="dxa"/>
            <w:vMerge w:val="continue"/>
          </w:tcPr>
          <w:p w14:paraId="47D23CC2"/>
        </w:tc>
        <w:tc>
          <w:tcPr>
            <w:tcW w:w="1292" w:type="dxa"/>
            <w:vMerge w:val="continue"/>
          </w:tcPr>
          <w:p w14:paraId="4C6D55B4"/>
        </w:tc>
        <w:tc>
          <w:tcPr>
            <w:tcW w:w="6875" w:type="dxa"/>
          </w:tcPr>
          <w:p w14:paraId="74B7CE27">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5.舱面属具</w:t>
            </w:r>
          </w:p>
          <w:p w14:paraId="37EBBCCC">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（1）艏尖舱及尾舱各设水密舱口盖1个。</w:t>
            </w:r>
          </w:p>
          <w:p w14:paraId="206F5BFB">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（2）船尾部及艏部</w:t>
            </w:r>
            <w:r>
              <w:rPr>
                <w:rFonts w:hint="eastAsia"/>
                <w:lang w:eastAsia="zh-CN"/>
              </w:rPr>
              <w:t>配有</w:t>
            </w:r>
            <w:r>
              <w:rPr>
                <w:rFonts w:hint="eastAsia" w:ascii="宋体" w:cs="宋体"/>
                <w:kern w:val="0"/>
                <w:sz w:val="21"/>
                <w:szCs w:val="21"/>
                <w:highlight w:val="none"/>
                <w:lang w:val="en-US" w:eastAsia="zh-CN"/>
              </w:rPr>
              <w:t>不少于</w:t>
            </w:r>
            <w:r>
              <w:rPr>
                <w:rFonts w:hint="eastAsia" w:ascii="宋体" w:eastAsia="宋体" w:cs="宋体"/>
                <w:kern w:val="0"/>
                <w:sz w:val="21"/>
                <w:szCs w:val="21"/>
                <w:highlight w:val="none"/>
              </w:rPr>
              <w:t>900mm 高的铝合金护栏。露天甲板采用防滑砂，栏杆、扶手、把手、螺丝、螺母等零部件均采用铝合金材质。</w:t>
            </w:r>
          </w:p>
          <w:p w14:paraId="46D0A08B">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（3）</w:t>
            </w: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顶部灯桅及天线为可倒式。</w:t>
            </w:r>
          </w:p>
          <w:p w14:paraId="287DFC3D">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（4）</w:t>
            </w: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船艏两侧部位采用铝制防撞条。</w:t>
            </w:r>
          </w:p>
          <w:p w14:paraId="585A82EB">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（5）</w:t>
            </w:r>
            <w:r>
              <w:rPr>
                <w:rFonts w:hint="eastAsia" w:ascii="宋体" w:cs="宋体"/>
                <w:kern w:val="0"/>
                <w:sz w:val="21"/>
                <w:szCs w:val="21"/>
                <w:highlight w:val="none"/>
                <w:lang w:val="en-US" w:eastAsia="zh-CN"/>
              </w:rPr>
              <w:t>公务艇配备</w:t>
            </w:r>
            <w:r>
              <w:rPr>
                <w:rFonts w:hint="eastAsia" w:ascii="宋体" w:eastAsia="宋体" w:cs="宋体"/>
                <w:kern w:val="0"/>
                <w:sz w:val="21"/>
                <w:szCs w:val="21"/>
                <w:highlight w:val="none"/>
              </w:rPr>
              <w:t>长排警灯一套，控制器在驾控台。</w:t>
            </w:r>
          </w:p>
        </w:tc>
      </w:tr>
      <w:tr w14:paraId="74EE7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7" w:type="dxa"/>
            <w:vMerge w:val="continue"/>
          </w:tcPr>
          <w:p w14:paraId="10F50A2B"/>
        </w:tc>
        <w:tc>
          <w:tcPr>
            <w:tcW w:w="1292" w:type="dxa"/>
            <w:vMerge w:val="continue"/>
          </w:tcPr>
          <w:p w14:paraId="776F0CCF"/>
        </w:tc>
        <w:tc>
          <w:tcPr>
            <w:tcW w:w="6875" w:type="dxa"/>
          </w:tcPr>
          <w:p w14:paraId="6623F446">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6.救生消防设备</w:t>
            </w:r>
          </w:p>
          <w:p w14:paraId="507189BB">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（1）</w:t>
            </w: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配有乘员救生衣共8件，安放在座椅底下，所有救生衣均带有救生衣灯。带有30m长救生浮索救生圈2只，悬挂在甲板遮阳棚侧栏杆上。或按实际规范要配备即可。</w:t>
            </w:r>
          </w:p>
          <w:p w14:paraId="6B3CB01C">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（2）配有10人气胀式救生筏1只，悬挂于主甲板尾部，或按实际规范要配备即可。</w:t>
            </w:r>
          </w:p>
          <w:p w14:paraId="6CE0AAF6">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（3）</w:t>
            </w: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在艏舱和乘员驾驶舱各配手提式5kg干粉灭火器3个，配手提式5kg二氧化碳灭火器1个；太平斧1把，带绳消防桶1只。或按实际规范要配备即可。</w:t>
            </w:r>
          </w:p>
          <w:p w14:paraId="25A2EA41">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（4）遇险信号：配有6支降落伞火箭信号，以上具体以规范要求配备为准。或按实际规范要配备即可。</w:t>
            </w:r>
          </w:p>
        </w:tc>
      </w:tr>
      <w:tr w14:paraId="7DE1E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trPr>
        <w:tc>
          <w:tcPr>
            <w:tcW w:w="707" w:type="dxa"/>
            <w:vMerge w:val="continue"/>
          </w:tcPr>
          <w:p w14:paraId="57D74CD4"/>
        </w:tc>
        <w:tc>
          <w:tcPr>
            <w:tcW w:w="1292" w:type="dxa"/>
            <w:vMerge w:val="continue"/>
          </w:tcPr>
          <w:p w14:paraId="189CCDE5"/>
        </w:tc>
        <w:tc>
          <w:tcPr>
            <w:tcW w:w="6875" w:type="dxa"/>
          </w:tcPr>
          <w:p w14:paraId="7CA9F341">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（二）、轮机部分</w:t>
            </w:r>
          </w:p>
          <w:p w14:paraId="02869E2A">
            <w:pPr>
              <w:spacing w:line="360" w:lineRule="auto"/>
              <w:rPr>
                <w:rFonts w:hint="eastAsia" w:ascii="宋体" w:eastAsia="宋体" w:cs="宋体"/>
                <w:b/>
                <w:bCs/>
                <w:kern w:val="0"/>
                <w:sz w:val="21"/>
                <w:szCs w:val="21"/>
                <w:highlight w:val="yellow"/>
              </w:rPr>
            </w:pPr>
            <w:r>
              <w:rPr>
                <w:rFonts w:hint="eastAsia" w:ascii="宋体" w:eastAsia="宋体" w:cs="宋体"/>
                <w:b/>
                <w:bCs/>
                <w:kern w:val="0"/>
                <w:sz w:val="21"/>
                <w:szCs w:val="21"/>
                <w:highlight w:val="yellow"/>
              </w:rPr>
              <w:t>★1.主机及推进装置</w:t>
            </w:r>
          </w:p>
          <w:p w14:paraId="4F3E1C9C">
            <w:pPr>
              <w:spacing w:line="360" w:lineRule="auto"/>
              <w:rPr>
                <w:rFonts w:hint="eastAsia" w:ascii="宋体" w:eastAsia="宋体" w:cs="宋体"/>
                <w:kern w:val="0"/>
                <w:sz w:val="21"/>
                <w:szCs w:val="21"/>
                <w:highlight w:val="none"/>
              </w:rPr>
            </w:pPr>
            <w:r>
              <w:rPr>
                <w:rFonts w:hint="eastAsia" w:ascii="宋体" w:eastAsia="宋体" w:cs="宋体"/>
                <w:b/>
                <w:bCs/>
                <w:kern w:val="0"/>
                <w:sz w:val="21"/>
                <w:szCs w:val="21"/>
                <w:highlight w:val="yellow"/>
              </w:rPr>
              <w:t>采用四冲程汽油外挂机，总功率：不低于1</w:t>
            </w:r>
            <w:r>
              <w:rPr>
                <w:rFonts w:hint="eastAsia" w:ascii="宋体" w:cs="宋体"/>
                <w:b/>
                <w:bCs/>
                <w:kern w:val="0"/>
                <w:sz w:val="21"/>
                <w:szCs w:val="21"/>
                <w:highlight w:val="yellow"/>
                <w:lang w:val="en-US" w:eastAsia="zh-CN"/>
              </w:rPr>
              <w:t>0</w:t>
            </w:r>
            <w:r>
              <w:rPr>
                <w:rFonts w:hint="eastAsia" w:ascii="宋体" w:eastAsia="宋体" w:cs="宋体"/>
                <w:b/>
                <w:bCs/>
                <w:kern w:val="0"/>
                <w:sz w:val="21"/>
                <w:szCs w:val="21"/>
                <w:highlight w:val="yellow"/>
              </w:rPr>
              <w:t>00HP，启动/控制：DC12V电启动/电控，</w:t>
            </w:r>
            <w:r>
              <w:rPr>
                <w:rFonts w:hint="eastAsia"/>
                <w:b/>
                <w:bCs/>
                <w:highlight w:val="yellow"/>
                <w:lang w:val="en-US" w:eastAsia="zh-CN"/>
              </w:rPr>
              <w:t>所投船艇发动机须具备中华人民共和国海事局认可的船舶检验机构签发的船用产品检验合格证书，检验机构包括但不限于中国船级社（CCS）、各地方船舶检验机构（ZC）等</w:t>
            </w:r>
            <w:r>
              <w:rPr>
                <w:rFonts w:hint="eastAsia" w:ascii="宋体" w:cs="宋体"/>
                <w:b/>
                <w:bCs/>
                <w:kern w:val="0"/>
                <w:szCs w:val="21"/>
                <w:highlight w:val="yellow"/>
                <w:lang w:val="en-US" w:eastAsia="zh-CN"/>
              </w:rPr>
              <w:t>，验收时须提供满足要求的检验合格证书</w:t>
            </w:r>
            <w:r>
              <w:rPr>
                <w:rFonts w:hint="eastAsia" w:ascii="宋体" w:eastAsia="宋体" w:cs="宋体"/>
                <w:b/>
                <w:bCs/>
                <w:kern w:val="0"/>
                <w:sz w:val="21"/>
                <w:szCs w:val="21"/>
                <w:highlight w:val="yellow"/>
              </w:rPr>
              <w:t>。</w:t>
            </w:r>
          </w:p>
        </w:tc>
      </w:tr>
      <w:tr w14:paraId="667CB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707" w:type="dxa"/>
            <w:vMerge w:val="continue"/>
          </w:tcPr>
          <w:p w14:paraId="68ABFB33"/>
        </w:tc>
        <w:tc>
          <w:tcPr>
            <w:tcW w:w="1292" w:type="dxa"/>
            <w:vMerge w:val="continue"/>
          </w:tcPr>
          <w:p w14:paraId="54F7EA07"/>
        </w:tc>
        <w:tc>
          <w:tcPr>
            <w:tcW w:w="6875" w:type="dxa"/>
          </w:tcPr>
          <w:p w14:paraId="1A427EF9">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2.挂机布置</w:t>
            </w:r>
          </w:p>
          <w:p w14:paraId="738048BC">
            <w:pPr>
              <w:spacing w:line="360" w:lineRule="auto"/>
              <w:rPr>
                <w:rFonts w:hint="eastAsia" w:ascii="宋体" w:eastAsia="宋体" w:cs="宋体"/>
                <w:kern w:val="0"/>
                <w:sz w:val="21"/>
                <w:szCs w:val="21"/>
                <w:highlight w:val="none"/>
              </w:rPr>
            </w:pP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为挂机型，挂机设置在船尾。在0#—2#肋位处，甲板开有舱口盖。</w:t>
            </w:r>
          </w:p>
          <w:p w14:paraId="10E27796">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舷外挂机机组安装地艉封板上，对称并列布置，其它设备布置在尾舱、燃油舱及空舱内。</w:t>
            </w:r>
          </w:p>
        </w:tc>
      </w:tr>
      <w:tr w14:paraId="7FDEA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707" w:type="dxa"/>
            <w:vMerge w:val="continue"/>
          </w:tcPr>
          <w:p w14:paraId="799475A6"/>
        </w:tc>
        <w:tc>
          <w:tcPr>
            <w:tcW w:w="1292" w:type="dxa"/>
            <w:vMerge w:val="continue"/>
          </w:tcPr>
          <w:p w14:paraId="69946CC8"/>
        </w:tc>
        <w:tc>
          <w:tcPr>
            <w:tcW w:w="6875" w:type="dxa"/>
          </w:tcPr>
          <w:p w14:paraId="48C191F8">
            <w:pPr>
              <w:spacing w:line="360" w:lineRule="auto"/>
              <w:rPr>
                <w:rFonts w:hint="eastAsia" w:ascii="宋体" w:eastAsia="宋体" w:cs="宋体"/>
                <w:b w:val="0"/>
                <w:bCs w:val="0"/>
                <w:kern w:val="0"/>
                <w:sz w:val="21"/>
                <w:szCs w:val="21"/>
                <w:highlight w:val="none"/>
              </w:rPr>
            </w:pPr>
            <w:r>
              <w:rPr>
                <w:rFonts w:hint="eastAsia" w:ascii="宋体" w:eastAsia="宋体" w:cs="宋体"/>
                <w:b w:val="0"/>
                <w:bCs w:val="0"/>
                <w:kern w:val="0"/>
                <w:sz w:val="21"/>
                <w:szCs w:val="21"/>
                <w:highlight w:val="none"/>
              </w:rPr>
              <w:t>3.主机遥控系统及操舵系统</w:t>
            </w:r>
          </w:p>
          <w:p w14:paraId="46F46814">
            <w:pPr>
              <w:spacing w:line="360" w:lineRule="auto"/>
              <w:rPr>
                <w:rFonts w:hint="eastAsia" w:ascii="宋体" w:eastAsia="宋体" w:cs="宋体"/>
                <w:b w:val="0"/>
                <w:bCs w:val="0"/>
                <w:kern w:val="0"/>
                <w:sz w:val="21"/>
                <w:szCs w:val="21"/>
                <w:highlight w:val="none"/>
              </w:rPr>
            </w:pPr>
            <w:r>
              <w:rPr>
                <w:rFonts w:hint="eastAsia" w:ascii="宋体" w:cs="宋体"/>
                <w:b w:val="0"/>
                <w:bCs w:val="0"/>
                <w:kern w:val="0"/>
                <w:sz w:val="21"/>
                <w:szCs w:val="21"/>
                <w:highlight w:val="none"/>
                <w:lang w:val="en-US" w:eastAsia="zh-CN"/>
              </w:rPr>
              <w:t>公务艇</w:t>
            </w:r>
            <w:r>
              <w:rPr>
                <w:rFonts w:hint="eastAsia" w:ascii="宋体" w:eastAsia="宋体" w:cs="宋体"/>
                <w:b w:val="0"/>
                <w:bCs w:val="0"/>
                <w:kern w:val="0"/>
                <w:sz w:val="21"/>
                <w:szCs w:val="21"/>
                <w:highlight w:val="none"/>
              </w:rPr>
              <w:t>采用单站驾驶,在驾驶台设有遥控装置，以实现舷外挂机组的遥控。舷外挂机组采用随机配带的电控遥控装置，通过驾驶室控制台的手柄可实现舷外挂机的油门调速、齿轮箱的离合和换向。</w:t>
            </w:r>
          </w:p>
          <w:p w14:paraId="7F319C7D">
            <w:pPr>
              <w:spacing w:line="360" w:lineRule="auto"/>
              <w:rPr>
                <w:rFonts w:hint="eastAsia" w:ascii="宋体" w:eastAsia="宋体" w:cs="宋体"/>
                <w:b w:val="0"/>
                <w:bCs w:val="0"/>
                <w:kern w:val="0"/>
                <w:sz w:val="21"/>
                <w:szCs w:val="21"/>
                <w:highlight w:val="none"/>
              </w:rPr>
            </w:pPr>
            <w:r>
              <w:rPr>
                <w:rFonts w:hint="eastAsia" w:ascii="宋体" w:eastAsia="宋体" w:cs="宋体"/>
                <w:b w:val="0"/>
                <w:bCs w:val="0"/>
                <w:kern w:val="0"/>
                <w:sz w:val="21"/>
                <w:szCs w:val="21"/>
                <w:highlight w:val="none"/>
              </w:rPr>
              <w:t>通过启停开关对主机进行遥控启动、停车。采用电动倾斜液压升降，在驾驶控制台上设有倾斜角度表及转速表，可对主机运行状态进行监视，通过转动方向盘控制艉部推进装置左右摆动可改变船舶航向。</w:t>
            </w:r>
          </w:p>
          <w:p w14:paraId="4D99C5D6">
            <w:pPr>
              <w:spacing w:line="360" w:lineRule="auto"/>
              <w:rPr>
                <w:rFonts w:hint="eastAsia" w:ascii="宋体" w:eastAsia="宋体" w:cs="宋体"/>
                <w:kern w:val="0"/>
                <w:sz w:val="21"/>
                <w:szCs w:val="21"/>
                <w:highlight w:val="none"/>
              </w:rPr>
            </w:pPr>
            <w:r>
              <w:rPr>
                <w:rFonts w:hint="eastAsia" w:ascii="宋体" w:eastAsia="宋体" w:cs="宋体"/>
                <w:b w:val="0"/>
                <w:bCs w:val="0"/>
                <w:kern w:val="0"/>
                <w:sz w:val="21"/>
                <w:szCs w:val="21"/>
                <w:highlight w:val="none"/>
              </w:rPr>
              <w:t>驾驶室控制台装有仪表盘，包括：滑油压力表、水温表、转速表及主机高水温、低油压报警器等主机仪表。</w:t>
            </w:r>
          </w:p>
        </w:tc>
      </w:tr>
      <w:tr w14:paraId="46478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707" w:type="dxa"/>
            <w:vMerge w:val="continue"/>
          </w:tcPr>
          <w:p w14:paraId="657B6905"/>
        </w:tc>
        <w:tc>
          <w:tcPr>
            <w:tcW w:w="1292" w:type="dxa"/>
            <w:vMerge w:val="continue"/>
          </w:tcPr>
          <w:p w14:paraId="1B4E89C4"/>
        </w:tc>
        <w:tc>
          <w:tcPr>
            <w:tcW w:w="6875" w:type="dxa"/>
          </w:tcPr>
          <w:p w14:paraId="321E93A5">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4.动力系统</w:t>
            </w:r>
          </w:p>
          <w:p w14:paraId="0C42D813">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（1）燃油系统</w:t>
            </w:r>
          </w:p>
          <w:p w14:paraId="2786080B">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舷外汽油挂机采用95号及以上无铅汽油作燃料。系统由不锈钢汽油箱及管路阀件等组成。设不低于1300L不锈钢汽油箱一个。汽油通过汽油箱注入口对汽油箱加油。主机运转时，汽油从汽油箱经过滤器进入主机燃油泵。汽油箱</w:t>
            </w:r>
            <w:r>
              <w:rPr>
                <w:rFonts w:hint="eastAsia" w:ascii="宋体" w:cs="宋体"/>
                <w:kern w:val="0"/>
                <w:sz w:val="21"/>
                <w:szCs w:val="21"/>
                <w:highlight w:val="none"/>
                <w:lang w:val="en-US" w:eastAsia="zh-CN"/>
              </w:rPr>
              <w:t>周边</w:t>
            </w:r>
            <w:r>
              <w:rPr>
                <w:rFonts w:hint="eastAsia" w:ascii="宋体" w:eastAsia="宋体" w:cs="宋体"/>
                <w:kern w:val="0"/>
                <w:sz w:val="21"/>
                <w:szCs w:val="21"/>
                <w:highlight w:val="none"/>
              </w:rPr>
              <w:t>设有防火分隔及自然通风系统。汽油箱安装前应进行压力试验，试验压力为</w:t>
            </w:r>
            <w:r>
              <w:rPr>
                <w:rFonts w:hint="eastAsia" w:ascii="宋体" w:cs="宋体"/>
                <w:kern w:val="0"/>
                <w:sz w:val="21"/>
                <w:szCs w:val="21"/>
                <w:highlight w:val="none"/>
                <w:lang w:val="en-US" w:eastAsia="zh-CN"/>
              </w:rPr>
              <w:t>不少于</w:t>
            </w:r>
            <w:r>
              <w:rPr>
                <w:rFonts w:hint="eastAsia" w:ascii="宋体" w:eastAsia="宋体" w:cs="宋体"/>
                <w:kern w:val="0"/>
                <w:sz w:val="21"/>
                <w:szCs w:val="21"/>
                <w:highlight w:val="none"/>
              </w:rPr>
              <w:t>0.03MPa。</w:t>
            </w:r>
          </w:p>
          <w:p w14:paraId="1D414763">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（2）滑油系统</w:t>
            </w:r>
          </w:p>
          <w:p w14:paraId="07ECAC80">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主机组自带润滑系统。</w:t>
            </w:r>
          </w:p>
          <w:p w14:paraId="13160F1A">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（3）冷却水系统</w:t>
            </w:r>
          </w:p>
          <w:p w14:paraId="575707FE">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主机的冷却水系统随主机提供，内外冷却水系统均与主机设计成一体。主机采用海水开式循环；海水由艉机吸入，经主机带冷却水泵送至汽油机内,冷却主机后随尾气排出。</w:t>
            </w:r>
          </w:p>
          <w:p w14:paraId="349E5830">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（4）排气系统及布置</w:t>
            </w:r>
          </w:p>
          <w:p w14:paraId="58783E9D">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主机采用尾排气。主机废气汽、水混合后从艉机出水口排出舷外。</w:t>
            </w:r>
          </w:p>
        </w:tc>
      </w:tr>
      <w:tr w14:paraId="6DDB6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707" w:type="dxa"/>
            <w:vMerge w:val="continue"/>
          </w:tcPr>
          <w:p w14:paraId="143B406D"/>
        </w:tc>
        <w:tc>
          <w:tcPr>
            <w:tcW w:w="1292" w:type="dxa"/>
            <w:vMerge w:val="continue"/>
          </w:tcPr>
          <w:p w14:paraId="537E460B"/>
        </w:tc>
        <w:tc>
          <w:tcPr>
            <w:tcW w:w="6875" w:type="dxa"/>
          </w:tcPr>
          <w:p w14:paraId="02392A52">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5.船舶系统</w:t>
            </w:r>
          </w:p>
          <w:p w14:paraId="4AD9C54D">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机舱设有舱底手摇泵一台,可将艉舱、乘员舱和储物舱等舱底水抽出排到舷外。另还设有2台抽水泵，其中一台为可移动式的；用以抽艉舱和艏尖舱舱底积水。各舱底设置有舱底水高位报警装置。</w:t>
            </w:r>
          </w:p>
        </w:tc>
      </w:tr>
      <w:tr w14:paraId="7304D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707" w:type="dxa"/>
            <w:vMerge w:val="continue"/>
          </w:tcPr>
          <w:p w14:paraId="4B5694C9"/>
        </w:tc>
        <w:tc>
          <w:tcPr>
            <w:tcW w:w="1292" w:type="dxa"/>
            <w:vMerge w:val="continue"/>
          </w:tcPr>
          <w:p w14:paraId="3794BA2A"/>
        </w:tc>
        <w:tc>
          <w:tcPr>
            <w:tcW w:w="6875" w:type="dxa"/>
          </w:tcPr>
          <w:p w14:paraId="69CE6A7B">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6.通风系统</w:t>
            </w:r>
          </w:p>
          <w:p w14:paraId="16B7D0E2">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汽油箱舱内采用自然通风系统，由一个自然进出风口与风道组成。</w:t>
            </w:r>
          </w:p>
        </w:tc>
      </w:tr>
      <w:tr w14:paraId="73C41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07" w:type="dxa"/>
            <w:vMerge w:val="continue"/>
          </w:tcPr>
          <w:p w14:paraId="14AD6D71"/>
        </w:tc>
        <w:tc>
          <w:tcPr>
            <w:tcW w:w="1292" w:type="dxa"/>
            <w:vMerge w:val="continue"/>
          </w:tcPr>
          <w:p w14:paraId="5B24BB75"/>
        </w:tc>
        <w:tc>
          <w:tcPr>
            <w:tcW w:w="6875" w:type="dxa"/>
          </w:tcPr>
          <w:p w14:paraId="60518FB2">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7、全</w:t>
            </w:r>
            <w:r>
              <w:rPr>
                <w:rFonts w:hint="eastAsia" w:ascii="宋体" w:cs="宋体"/>
                <w:kern w:val="0"/>
                <w:sz w:val="21"/>
                <w:szCs w:val="21"/>
                <w:highlight w:val="none"/>
                <w:lang w:val="en-US" w:eastAsia="zh-CN"/>
              </w:rPr>
              <w:t>艇</w:t>
            </w:r>
            <w:r>
              <w:rPr>
                <w:rFonts w:hint="eastAsia" w:ascii="宋体" w:eastAsia="宋体" w:cs="宋体"/>
                <w:kern w:val="0"/>
                <w:sz w:val="21"/>
                <w:szCs w:val="21"/>
                <w:highlight w:val="none"/>
              </w:rPr>
              <w:t>空气及测量系统</w:t>
            </w:r>
          </w:p>
          <w:p w14:paraId="594C0D46">
            <w:pPr>
              <w:spacing w:line="360" w:lineRule="auto"/>
              <w:rPr>
                <w:rFonts w:hint="eastAsia" w:ascii="宋体" w:eastAsia="宋体" w:cs="宋体"/>
                <w:kern w:val="0"/>
                <w:sz w:val="21"/>
                <w:szCs w:val="21"/>
                <w:highlight w:val="none"/>
              </w:rPr>
            </w:pP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汽油箱设有电感式液位计，可以通过设在驾驶台的油位表知道燃油的消耗情况，</w:t>
            </w: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汽油箱设有防爆阻火呼吸阀，保证汽油箱的透气安全。汽油箱透气管的防爆阻火呼吸阀安装在后甲板上。</w:t>
            </w:r>
          </w:p>
        </w:tc>
      </w:tr>
      <w:tr w14:paraId="27F4B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707" w:type="dxa"/>
            <w:vMerge w:val="continue"/>
          </w:tcPr>
          <w:p w14:paraId="7A828129"/>
        </w:tc>
        <w:tc>
          <w:tcPr>
            <w:tcW w:w="1292" w:type="dxa"/>
            <w:vMerge w:val="continue"/>
          </w:tcPr>
          <w:p w14:paraId="18AFD67F"/>
        </w:tc>
        <w:tc>
          <w:tcPr>
            <w:tcW w:w="6875" w:type="dxa"/>
          </w:tcPr>
          <w:p w14:paraId="76D74C40">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8.防污染</w:t>
            </w:r>
          </w:p>
          <w:p w14:paraId="4F5C0BB8">
            <w:pPr>
              <w:spacing w:line="360" w:lineRule="auto"/>
              <w:rPr>
                <w:rFonts w:hint="eastAsia" w:ascii="宋体" w:eastAsia="宋体" w:cs="宋体"/>
                <w:kern w:val="0"/>
                <w:sz w:val="21"/>
                <w:szCs w:val="21"/>
                <w:highlight w:val="none"/>
              </w:rPr>
            </w:pP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所用主机为外舷外挂机，其所用燃料为汽油，汽油的特性具有挥发性。不会对水造成污染。</w:t>
            </w:r>
          </w:p>
        </w:tc>
      </w:tr>
      <w:tr w14:paraId="69679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trPr>
        <w:tc>
          <w:tcPr>
            <w:tcW w:w="707" w:type="dxa"/>
            <w:vMerge w:val="continue"/>
          </w:tcPr>
          <w:p w14:paraId="7FD838E1"/>
        </w:tc>
        <w:tc>
          <w:tcPr>
            <w:tcW w:w="1292" w:type="dxa"/>
            <w:vMerge w:val="continue"/>
          </w:tcPr>
          <w:p w14:paraId="0A8533D0"/>
        </w:tc>
        <w:tc>
          <w:tcPr>
            <w:tcW w:w="6875" w:type="dxa"/>
          </w:tcPr>
          <w:p w14:paraId="45AA47C3">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9.垃圾收集系统</w:t>
            </w:r>
          </w:p>
          <w:p w14:paraId="48EE3A90">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按规范要求，</w:t>
            </w:r>
            <w:r>
              <w:rPr>
                <w:rFonts w:hint="eastAsia" w:ascii="宋体" w:cs="宋体"/>
                <w:kern w:val="0"/>
                <w:sz w:val="21"/>
                <w:szCs w:val="21"/>
                <w:highlight w:val="none"/>
                <w:lang w:val="en-US" w:eastAsia="zh-CN"/>
              </w:rPr>
              <w:t>公务艇</w:t>
            </w:r>
            <w:r>
              <w:rPr>
                <w:rFonts w:hint="eastAsia" w:ascii="宋体" w:eastAsia="宋体" w:cs="宋体"/>
                <w:kern w:val="0"/>
                <w:sz w:val="21"/>
                <w:szCs w:val="21"/>
                <w:highlight w:val="none"/>
              </w:rPr>
              <w:t>上设置1个10L垃圾桶，总容量30L；并配置了一块“请勿将垃圾或其他物品投入水中”中英文告示牌。主要用于收集船舶航行时的日常垃圾，待船舶靠岸时再作回收处理。</w:t>
            </w:r>
          </w:p>
        </w:tc>
      </w:tr>
      <w:tr w14:paraId="3F34D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7" w:hRule="atLeast"/>
        </w:trPr>
        <w:tc>
          <w:tcPr>
            <w:tcW w:w="707" w:type="dxa"/>
            <w:vMerge w:val="continue"/>
          </w:tcPr>
          <w:p w14:paraId="4901BC88"/>
        </w:tc>
        <w:tc>
          <w:tcPr>
            <w:tcW w:w="1292" w:type="dxa"/>
            <w:vMerge w:val="continue"/>
          </w:tcPr>
          <w:p w14:paraId="2FDE5988"/>
        </w:tc>
        <w:tc>
          <w:tcPr>
            <w:tcW w:w="6875" w:type="dxa"/>
          </w:tcPr>
          <w:p w14:paraId="2593DD35">
            <w:pPr>
              <w:spacing w:line="360" w:lineRule="auto"/>
              <w:rPr>
                <w:rFonts w:hint="eastAsia" w:ascii="宋体" w:eastAsia="宋体" w:cs="宋体"/>
                <w:kern w:val="0"/>
                <w:sz w:val="21"/>
                <w:szCs w:val="21"/>
              </w:rPr>
            </w:pPr>
            <w:r>
              <w:rPr>
                <w:rFonts w:hint="eastAsia" w:ascii="宋体" w:eastAsia="宋体" w:cs="宋体"/>
                <w:kern w:val="0"/>
                <w:sz w:val="21"/>
                <w:szCs w:val="21"/>
              </w:rPr>
              <w:t>（三）、电气部分</w:t>
            </w:r>
          </w:p>
          <w:p w14:paraId="5A473116">
            <w:pPr>
              <w:spacing w:line="360" w:lineRule="auto"/>
              <w:rPr>
                <w:rFonts w:hint="eastAsia" w:ascii="宋体" w:eastAsia="宋体" w:cs="宋体"/>
                <w:kern w:val="0"/>
                <w:sz w:val="21"/>
                <w:szCs w:val="21"/>
                <w:lang w:val="en-US" w:eastAsia="zh-CN"/>
              </w:rPr>
            </w:pPr>
            <w:r>
              <w:rPr>
                <w:rFonts w:hint="eastAsia" w:ascii="宋体" w:eastAsia="宋体" w:cs="宋体"/>
                <w:kern w:val="0"/>
                <w:sz w:val="21"/>
                <w:szCs w:val="21"/>
              </w:rPr>
              <w:t>1、</w:t>
            </w:r>
            <w:r>
              <w:rPr>
                <w:rFonts w:hint="eastAsia" w:ascii="宋体" w:cs="宋体"/>
                <w:kern w:val="0"/>
                <w:sz w:val="21"/>
                <w:szCs w:val="21"/>
                <w:lang w:val="en-US" w:eastAsia="zh-CN"/>
              </w:rPr>
              <w:t>设计要求</w:t>
            </w:r>
          </w:p>
          <w:p w14:paraId="4625A543">
            <w:pPr>
              <w:spacing w:line="360" w:lineRule="auto"/>
              <w:rPr>
                <w:rFonts w:hint="eastAsia" w:ascii="宋体" w:eastAsia="宋体" w:cs="宋体"/>
                <w:kern w:val="0"/>
                <w:sz w:val="21"/>
                <w:szCs w:val="21"/>
              </w:rPr>
            </w:pPr>
            <w:r>
              <w:rPr>
                <w:rFonts w:hint="eastAsia" w:ascii="宋体" w:cs="宋体"/>
                <w:kern w:val="0"/>
                <w:sz w:val="21"/>
                <w:szCs w:val="21"/>
                <w:highlight w:val="none"/>
                <w:lang w:val="en-US" w:eastAsia="zh-CN"/>
              </w:rPr>
              <w:t>公务艇</w:t>
            </w:r>
            <w:r>
              <w:rPr>
                <w:rFonts w:hint="eastAsia" w:ascii="宋体" w:eastAsia="宋体" w:cs="宋体"/>
                <w:kern w:val="0"/>
                <w:sz w:val="21"/>
                <w:szCs w:val="21"/>
              </w:rPr>
              <w:t>设计以《国内航行小型海船技术规则》（2024年）、《公务船技术规则》（2020）规定及船舶电气设计手册为依据。航区：平静水域。</w:t>
            </w:r>
          </w:p>
        </w:tc>
      </w:tr>
      <w:tr w14:paraId="7906A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8" w:hRule="atLeast"/>
        </w:trPr>
        <w:tc>
          <w:tcPr>
            <w:tcW w:w="707" w:type="dxa"/>
            <w:vMerge w:val="continue"/>
          </w:tcPr>
          <w:p w14:paraId="35030DA3"/>
        </w:tc>
        <w:tc>
          <w:tcPr>
            <w:tcW w:w="1292" w:type="dxa"/>
            <w:vMerge w:val="continue"/>
          </w:tcPr>
          <w:p w14:paraId="4C64F249"/>
        </w:tc>
        <w:tc>
          <w:tcPr>
            <w:tcW w:w="6875" w:type="dxa"/>
          </w:tcPr>
          <w:p w14:paraId="5E5A1E72">
            <w:pPr>
              <w:spacing w:line="360" w:lineRule="auto"/>
              <w:rPr>
                <w:rFonts w:hint="eastAsia" w:ascii="宋体" w:eastAsia="宋体" w:cs="宋体"/>
                <w:kern w:val="0"/>
                <w:sz w:val="21"/>
                <w:szCs w:val="21"/>
              </w:rPr>
            </w:pPr>
            <w:r>
              <w:rPr>
                <w:rFonts w:hint="eastAsia" w:ascii="宋体" w:eastAsia="宋体" w:cs="宋体"/>
                <w:kern w:val="0"/>
                <w:sz w:val="21"/>
                <w:szCs w:val="21"/>
              </w:rPr>
              <w:t>2、电源设备</w:t>
            </w:r>
          </w:p>
          <w:p w14:paraId="7EA60514">
            <w:pPr>
              <w:spacing w:line="360" w:lineRule="auto"/>
              <w:rPr>
                <w:rFonts w:hint="eastAsia" w:ascii="宋体" w:eastAsia="宋体" w:cs="宋体"/>
                <w:kern w:val="0"/>
                <w:sz w:val="21"/>
                <w:szCs w:val="21"/>
              </w:rPr>
            </w:pPr>
            <w:r>
              <w:rPr>
                <w:rFonts w:hint="eastAsia" w:ascii="宋体" w:eastAsia="宋体" w:cs="宋体"/>
                <w:kern w:val="0"/>
                <w:sz w:val="21"/>
                <w:szCs w:val="21"/>
              </w:rPr>
              <w:t>（1）蓄电池组：</w:t>
            </w:r>
            <w:r>
              <w:rPr>
                <w:rFonts w:hint="eastAsia" w:ascii="宋体" w:cs="宋体"/>
                <w:kern w:val="0"/>
                <w:sz w:val="21"/>
                <w:szCs w:val="21"/>
                <w:lang w:val="en-US" w:eastAsia="zh-CN"/>
              </w:rPr>
              <w:t>配备</w:t>
            </w:r>
            <w:r>
              <w:rPr>
                <w:rFonts w:hint="eastAsia" w:ascii="宋体" w:eastAsia="宋体" w:cs="宋体"/>
                <w:kern w:val="0"/>
                <w:sz w:val="21"/>
                <w:szCs w:val="21"/>
              </w:rPr>
              <w:t>不低于2块蓄电池，供主机启动用电。当</w:t>
            </w:r>
            <w:r>
              <w:rPr>
                <w:rFonts w:hint="eastAsia" w:ascii="宋体" w:cs="宋体"/>
                <w:kern w:val="0"/>
                <w:sz w:val="21"/>
                <w:szCs w:val="21"/>
                <w:lang w:val="en-US" w:eastAsia="zh-CN"/>
              </w:rPr>
              <w:t>启动</w:t>
            </w:r>
            <w:r>
              <w:rPr>
                <w:rFonts w:hint="eastAsia" w:ascii="宋体" w:eastAsia="宋体" w:cs="宋体"/>
                <w:kern w:val="0"/>
                <w:sz w:val="21"/>
                <w:szCs w:val="21"/>
              </w:rPr>
              <w:t>完成且正常运转时，可自行对所有蓄电池组进行充电。按要求进行设计匹配，满足要求即可。</w:t>
            </w:r>
          </w:p>
          <w:p w14:paraId="753DC828">
            <w:pPr>
              <w:spacing w:line="360" w:lineRule="auto"/>
              <w:rPr>
                <w:rFonts w:hint="eastAsia" w:ascii="宋体" w:eastAsia="宋体" w:cs="宋体"/>
                <w:kern w:val="0"/>
                <w:sz w:val="21"/>
                <w:szCs w:val="21"/>
              </w:rPr>
            </w:pPr>
            <w:r>
              <w:rPr>
                <w:rFonts w:hint="eastAsia" w:ascii="宋体" w:eastAsia="宋体" w:cs="宋体"/>
                <w:kern w:val="0"/>
                <w:sz w:val="21"/>
                <w:szCs w:val="21"/>
              </w:rPr>
              <w:t xml:space="preserve">（2）充电机 </w:t>
            </w:r>
          </w:p>
          <w:p w14:paraId="2889F39B">
            <w:pPr>
              <w:spacing w:line="360" w:lineRule="auto"/>
              <w:rPr>
                <w:rFonts w:hint="eastAsia" w:ascii="宋体" w:eastAsia="宋体" w:cs="宋体"/>
                <w:kern w:val="0"/>
                <w:sz w:val="21"/>
                <w:szCs w:val="21"/>
              </w:rPr>
            </w:pPr>
            <w:r>
              <w:rPr>
                <w:rFonts w:hint="eastAsia" w:ascii="宋体" w:cs="宋体"/>
                <w:kern w:val="0"/>
                <w:sz w:val="21"/>
                <w:szCs w:val="21"/>
                <w:highlight w:val="none"/>
                <w:lang w:val="en-US" w:eastAsia="zh-CN"/>
              </w:rPr>
              <w:t>公务艇</w:t>
            </w:r>
            <w:r>
              <w:rPr>
                <w:rFonts w:hint="eastAsia"/>
                <w:lang w:eastAsia="zh-CN"/>
              </w:rPr>
              <w:t>配备</w:t>
            </w:r>
            <w:r>
              <w:rPr>
                <w:rFonts w:hint="eastAsia" w:ascii="宋体" w:eastAsia="宋体" w:cs="宋体"/>
                <w:kern w:val="0"/>
                <w:sz w:val="21"/>
                <w:szCs w:val="21"/>
              </w:rPr>
              <w:t>充电机一台，船舶靠岸时给全船蓄电池组充电。</w:t>
            </w:r>
          </w:p>
          <w:p w14:paraId="2C2911DF">
            <w:pPr>
              <w:spacing w:line="360" w:lineRule="auto"/>
              <w:rPr>
                <w:rFonts w:hint="eastAsia" w:ascii="宋体" w:eastAsia="宋体" w:cs="宋体"/>
                <w:kern w:val="0"/>
                <w:sz w:val="21"/>
                <w:szCs w:val="21"/>
              </w:rPr>
            </w:pPr>
            <w:r>
              <w:rPr>
                <w:rFonts w:hint="eastAsia" w:ascii="宋体" w:eastAsia="宋体" w:cs="宋体"/>
                <w:kern w:val="0"/>
                <w:sz w:val="21"/>
                <w:szCs w:val="21"/>
              </w:rPr>
              <w:t>（3）岸电</w:t>
            </w:r>
          </w:p>
          <w:p w14:paraId="59A3C9AD">
            <w:pPr>
              <w:spacing w:line="360" w:lineRule="auto"/>
              <w:rPr>
                <w:rFonts w:hint="eastAsia" w:ascii="宋体" w:eastAsia="宋体" w:cs="宋体"/>
                <w:kern w:val="0"/>
                <w:sz w:val="21"/>
                <w:szCs w:val="21"/>
              </w:rPr>
            </w:pPr>
            <w:r>
              <w:rPr>
                <w:rFonts w:hint="eastAsia" w:ascii="宋体" w:cs="宋体"/>
                <w:kern w:val="0"/>
                <w:sz w:val="21"/>
                <w:szCs w:val="21"/>
                <w:highlight w:val="none"/>
                <w:lang w:val="en-US" w:eastAsia="zh-CN"/>
              </w:rPr>
              <w:t>公务艇</w:t>
            </w:r>
            <w:r>
              <w:rPr>
                <w:rFonts w:hint="eastAsia"/>
                <w:lang w:eastAsia="zh-CN"/>
              </w:rPr>
              <w:t>配备</w:t>
            </w:r>
            <w:r>
              <w:rPr>
                <w:rFonts w:hint="eastAsia" w:ascii="宋体" w:eastAsia="宋体" w:cs="宋体"/>
                <w:kern w:val="0"/>
                <w:sz w:val="21"/>
                <w:szCs w:val="21"/>
              </w:rPr>
              <w:t>岸电插座插头一套（配</w:t>
            </w:r>
            <w:r>
              <w:rPr>
                <w:rFonts w:hint="eastAsia"/>
                <w:lang w:val="en-US" w:eastAsia="zh-CN"/>
              </w:rPr>
              <w:t>≥</w:t>
            </w:r>
            <w:r>
              <w:rPr>
                <w:rFonts w:hint="eastAsia" w:ascii="宋体" w:eastAsia="宋体" w:cs="宋体"/>
                <w:kern w:val="0"/>
                <w:sz w:val="21"/>
                <w:szCs w:val="21"/>
              </w:rPr>
              <w:t>35米岸电线），艇靠岸时从岸电插座引入AC220V电源通过充电机给蓄电池组充电。</w:t>
            </w:r>
          </w:p>
        </w:tc>
      </w:tr>
      <w:tr w14:paraId="2143E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707" w:type="dxa"/>
            <w:vMerge w:val="continue"/>
          </w:tcPr>
          <w:p w14:paraId="38630893"/>
        </w:tc>
        <w:tc>
          <w:tcPr>
            <w:tcW w:w="1292" w:type="dxa"/>
            <w:vMerge w:val="continue"/>
          </w:tcPr>
          <w:p w14:paraId="1457BA0A"/>
        </w:tc>
        <w:tc>
          <w:tcPr>
            <w:tcW w:w="6875" w:type="dxa"/>
          </w:tcPr>
          <w:p w14:paraId="7D53CD48">
            <w:pPr>
              <w:spacing w:line="360" w:lineRule="auto"/>
              <w:rPr>
                <w:rFonts w:hint="eastAsia" w:ascii="宋体" w:eastAsia="宋体" w:cs="宋体"/>
                <w:kern w:val="0"/>
                <w:sz w:val="21"/>
                <w:szCs w:val="21"/>
              </w:rPr>
            </w:pPr>
            <w:r>
              <w:rPr>
                <w:rFonts w:hint="eastAsia" w:ascii="宋体" w:eastAsia="宋体" w:cs="宋体"/>
                <w:kern w:val="0"/>
                <w:sz w:val="21"/>
                <w:szCs w:val="21"/>
              </w:rPr>
              <w:t>3、配电</w:t>
            </w:r>
          </w:p>
          <w:p w14:paraId="18D494CF">
            <w:pPr>
              <w:spacing w:line="360" w:lineRule="auto"/>
              <w:rPr>
                <w:rFonts w:hint="eastAsia" w:ascii="宋体" w:eastAsia="宋体" w:cs="宋体"/>
                <w:kern w:val="0"/>
                <w:sz w:val="21"/>
                <w:szCs w:val="21"/>
              </w:rPr>
            </w:pPr>
            <w:r>
              <w:rPr>
                <w:rFonts w:hint="eastAsia" w:ascii="宋体" w:eastAsia="宋体" w:cs="宋体"/>
                <w:kern w:val="0"/>
                <w:sz w:val="21"/>
                <w:szCs w:val="21"/>
              </w:rPr>
              <w:t>（1）</w:t>
            </w:r>
            <w:r>
              <w:rPr>
                <w:rFonts w:hint="eastAsia" w:ascii="宋体" w:cs="宋体"/>
                <w:kern w:val="0"/>
                <w:sz w:val="21"/>
                <w:szCs w:val="21"/>
                <w:highlight w:val="none"/>
                <w:lang w:val="en-US" w:eastAsia="zh-CN"/>
              </w:rPr>
              <w:t>公务艇</w:t>
            </w:r>
            <w:r>
              <w:rPr>
                <w:rFonts w:hint="eastAsia" w:ascii="宋体" w:eastAsia="宋体" w:cs="宋体"/>
                <w:kern w:val="0"/>
                <w:sz w:val="21"/>
                <w:szCs w:val="21"/>
              </w:rPr>
              <w:t>配电系统采用DC12V双线绝缘系统。</w:t>
            </w:r>
          </w:p>
          <w:p w14:paraId="2935E3CE">
            <w:pPr>
              <w:spacing w:line="360" w:lineRule="auto"/>
              <w:rPr>
                <w:rFonts w:hint="eastAsia" w:ascii="宋体" w:eastAsia="宋体" w:cs="宋体"/>
                <w:kern w:val="0"/>
                <w:sz w:val="21"/>
                <w:szCs w:val="21"/>
              </w:rPr>
            </w:pPr>
            <w:r>
              <w:rPr>
                <w:rFonts w:hint="eastAsia" w:ascii="宋体" w:eastAsia="宋体" w:cs="宋体"/>
                <w:kern w:val="0"/>
                <w:sz w:val="21"/>
                <w:szCs w:val="21"/>
              </w:rPr>
              <w:t>（2）</w:t>
            </w:r>
            <w:r>
              <w:rPr>
                <w:rFonts w:hint="eastAsia" w:ascii="宋体" w:cs="宋体"/>
                <w:kern w:val="0"/>
                <w:sz w:val="21"/>
                <w:szCs w:val="21"/>
                <w:highlight w:val="none"/>
                <w:lang w:val="en-US" w:eastAsia="zh-CN"/>
              </w:rPr>
              <w:t>公务艇</w:t>
            </w:r>
            <w:r>
              <w:rPr>
                <w:rFonts w:hint="eastAsia" w:ascii="宋体" w:eastAsia="宋体" w:cs="宋体"/>
                <w:kern w:val="0"/>
                <w:sz w:val="21"/>
                <w:szCs w:val="21"/>
              </w:rPr>
              <w:t>设有1块充放电板，通过断路器或熔断器对各直流用电设备进行控制，并对其进行电气保护。充放电板设有直流电压表、电流表各1块，供电和绝缘指示灯共3个，绝缘检测按钮1个。</w:t>
            </w:r>
          </w:p>
          <w:p w14:paraId="1F78707E">
            <w:pPr>
              <w:spacing w:line="360" w:lineRule="auto"/>
              <w:rPr>
                <w:rFonts w:hint="eastAsia" w:ascii="宋体" w:eastAsia="宋体" w:cs="宋体"/>
                <w:kern w:val="0"/>
                <w:sz w:val="21"/>
                <w:szCs w:val="21"/>
              </w:rPr>
            </w:pPr>
            <w:r>
              <w:rPr>
                <w:rFonts w:hint="eastAsia" w:ascii="宋体" w:eastAsia="宋体" w:cs="宋体"/>
                <w:kern w:val="0"/>
                <w:sz w:val="21"/>
                <w:szCs w:val="21"/>
              </w:rPr>
              <w:t>（3）在驾驶室内装有1只航行信号灯板（NSB）控制全船的航行信号灯。当发生故障时，发出声光报警，提醒值班人员采取措施排除故障。当故障排除后，声光报警结束，恢复正常。</w:t>
            </w:r>
          </w:p>
        </w:tc>
      </w:tr>
      <w:tr w14:paraId="64E4E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07" w:type="dxa"/>
            <w:vMerge w:val="continue"/>
          </w:tcPr>
          <w:p w14:paraId="5207EA81"/>
        </w:tc>
        <w:tc>
          <w:tcPr>
            <w:tcW w:w="1292" w:type="dxa"/>
            <w:vMerge w:val="continue"/>
          </w:tcPr>
          <w:p w14:paraId="6A4E92FC"/>
        </w:tc>
        <w:tc>
          <w:tcPr>
            <w:tcW w:w="6875" w:type="dxa"/>
          </w:tcPr>
          <w:p w14:paraId="5DF015C6">
            <w:pPr>
              <w:spacing w:line="360" w:lineRule="auto"/>
              <w:rPr>
                <w:rFonts w:hint="eastAsia" w:ascii="宋体" w:eastAsia="宋体" w:cs="宋体"/>
                <w:kern w:val="0"/>
                <w:sz w:val="21"/>
                <w:szCs w:val="21"/>
              </w:rPr>
            </w:pPr>
            <w:r>
              <w:rPr>
                <w:rFonts w:hint="eastAsia" w:ascii="宋体" w:eastAsia="宋体" w:cs="宋体"/>
                <w:kern w:val="0"/>
                <w:sz w:val="21"/>
                <w:szCs w:val="21"/>
              </w:rPr>
              <w:t>4、电力设备</w:t>
            </w:r>
          </w:p>
          <w:p w14:paraId="548FAA28">
            <w:pPr>
              <w:spacing w:line="360" w:lineRule="auto"/>
              <w:rPr>
                <w:rFonts w:hint="eastAsia" w:ascii="宋体" w:eastAsia="宋体" w:cs="宋体"/>
                <w:kern w:val="0"/>
                <w:sz w:val="21"/>
                <w:szCs w:val="21"/>
              </w:rPr>
            </w:pPr>
            <w:r>
              <w:rPr>
                <w:rFonts w:hint="eastAsia" w:ascii="宋体" w:eastAsia="宋体" w:cs="宋体"/>
                <w:kern w:val="0"/>
                <w:sz w:val="21"/>
                <w:szCs w:val="21"/>
              </w:rPr>
              <w:t>（1）</w:t>
            </w:r>
            <w:r>
              <w:rPr>
                <w:rFonts w:hint="eastAsia" w:ascii="宋体" w:cs="宋体"/>
                <w:kern w:val="0"/>
                <w:sz w:val="21"/>
                <w:szCs w:val="21"/>
                <w:highlight w:val="none"/>
                <w:lang w:val="en-US" w:eastAsia="zh-CN"/>
              </w:rPr>
              <w:t>公务艇</w:t>
            </w:r>
            <w:r>
              <w:rPr>
                <w:rFonts w:hint="eastAsia" w:ascii="宋体" w:eastAsia="宋体" w:cs="宋体"/>
                <w:kern w:val="0"/>
                <w:sz w:val="21"/>
                <w:szCs w:val="21"/>
              </w:rPr>
              <w:t>设有2台电动舱底泵（DC12V）。</w:t>
            </w:r>
          </w:p>
        </w:tc>
      </w:tr>
      <w:tr w14:paraId="3D3A4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707" w:type="dxa"/>
            <w:vMerge w:val="continue"/>
          </w:tcPr>
          <w:p w14:paraId="18B6ACFC"/>
        </w:tc>
        <w:tc>
          <w:tcPr>
            <w:tcW w:w="1292" w:type="dxa"/>
            <w:vMerge w:val="continue"/>
          </w:tcPr>
          <w:p w14:paraId="4150CBED"/>
        </w:tc>
        <w:tc>
          <w:tcPr>
            <w:tcW w:w="6875" w:type="dxa"/>
          </w:tcPr>
          <w:p w14:paraId="0402E197">
            <w:pPr>
              <w:spacing w:line="360" w:lineRule="auto"/>
              <w:rPr>
                <w:rFonts w:hint="eastAsia" w:ascii="宋体" w:eastAsia="宋体" w:cs="宋体"/>
                <w:kern w:val="0"/>
                <w:sz w:val="21"/>
                <w:szCs w:val="21"/>
              </w:rPr>
            </w:pPr>
            <w:r>
              <w:rPr>
                <w:rFonts w:hint="eastAsia" w:ascii="宋体" w:eastAsia="宋体" w:cs="宋体"/>
                <w:kern w:val="0"/>
                <w:sz w:val="21"/>
                <w:szCs w:val="21"/>
              </w:rPr>
              <w:t>5、照明</w:t>
            </w:r>
          </w:p>
          <w:p w14:paraId="119190AA">
            <w:pPr>
              <w:spacing w:line="360" w:lineRule="auto"/>
              <w:rPr>
                <w:rFonts w:hint="eastAsia" w:ascii="宋体" w:eastAsia="宋体" w:cs="宋体"/>
                <w:kern w:val="0"/>
                <w:sz w:val="21"/>
                <w:szCs w:val="21"/>
              </w:rPr>
            </w:pPr>
            <w:r>
              <w:rPr>
                <w:rFonts w:hint="eastAsia" w:ascii="宋体" w:eastAsia="宋体" w:cs="宋体"/>
                <w:kern w:val="0"/>
                <w:sz w:val="21"/>
                <w:szCs w:val="21"/>
              </w:rPr>
              <w:t>（1）本船艉舱及驾驶区设有舱顶灯。</w:t>
            </w:r>
          </w:p>
          <w:p w14:paraId="1F2A547C">
            <w:pPr>
              <w:spacing w:line="360" w:lineRule="auto"/>
              <w:rPr>
                <w:rFonts w:hint="eastAsia" w:ascii="宋体" w:eastAsia="宋体" w:cs="宋体"/>
                <w:kern w:val="0"/>
                <w:sz w:val="21"/>
                <w:szCs w:val="21"/>
              </w:rPr>
            </w:pPr>
            <w:r>
              <w:rPr>
                <w:rFonts w:hint="eastAsia" w:ascii="宋体" w:eastAsia="宋体" w:cs="宋体"/>
                <w:kern w:val="0"/>
                <w:sz w:val="21"/>
                <w:szCs w:val="21"/>
              </w:rPr>
              <w:t>（2）尾甲板配1盏泛光灯。</w:t>
            </w:r>
          </w:p>
          <w:p w14:paraId="21E25B51">
            <w:pPr>
              <w:spacing w:line="360" w:lineRule="auto"/>
              <w:rPr>
                <w:rFonts w:hint="eastAsia" w:ascii="宋体" w:eastAsia="宋体" w:cs="宋体"/>
                <w:kern w:val="0"/>
                <w:sz w:val="21"/>
                <w:szCs w:val="21"/>
              </w:rPr>
            </w:pPr>
            <w:r>
              <w:rPr>
                <w:rFonts w:hint="eastAsia" w:ascii="宋体" w:eastAsia="宋体" w:cs="宋体"/>
                <w:kern w:val="0"/>
                <w:sz w:val="21"/>
                <w:szCs w:val="21"/>
              </w:rPr>
              <w:t>（3）</w:t>
            </w:r>
            <w:r>
              <w:rPr>
                <w:rFonts w:hint="eastAsia" w:ascii="宋体" w:cs="宋体"/>
                <w:kern w:val="0"/>
                <w:sz w:val="21"/>
                <w:szCs w:val="21"/>
                <w:highlight w:val="none"/>
                <w:lang w:val="en-US" w:eastAsia="zh-CN"/>
              </w:rPr>
              <w:t>公务艇</w:t>
            </w:r>
            <w:r>
              <w:rPr>
                <w:rFonts w:hint="eastAsia" w:ascii="宋体" w:eastAsia="宋体" w:cs="宋体"/>
                <w:kern w:val="0"/>
                <w:sz w:val="21"/>
                <w:szCs w:val="21"/>
              </w:rPr>
              <w:t>驾驶室顶设有1只电动遥控探照灯，控制开关设在驾控台。</w:t>
            </w:r>
          </w:p>
        </w:tc>
      </w:tr>
      <w:tr w14:paraId="79CD2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707" w:type="dxa"/>
            <w:vMerge w:val="continue"/>
          </w:tcPr>
          <w:p w14:paraId="771140A2"/>
        </w:tc>
        <w:tc>
          <w:tcPr>
            <w:tcW w:w="1292" w:type="dxa"/>
            <w:vMerge w:val="continue"/>
          </w:tcPr>
          <w:p w14:paraId="794E3573"/>
        </w:tc>
        <w:tc>
          <w:tcPr>
            <w:tcW w:w="6875" w:type="dxa"/>
          </w:tcPr>
          <w:p w14:paraId="51B3F963">
            <w:pPr>
              <w:spacing w:line="360" w:lineRule="auto"/>
              <w:rPr>
                <w:rFonts w:hint="eastAsia" w:ascii="宋体" w:eastAsia="宋体" w:cs="宋体"/>
                <w:kern w:val="0"/>
                <w:sz w:val="21"/>
                <w:szCs w:val="21"/>
              </w:rPr>
            </w:pPr>
            <w:r>
              <w:rPr>
                <w:rFonts w:hint="eastAsia" w:ascii="宋体" w:eastAsia="宋体" w:cs="宋体"/>
                <w:kern w:val="0"/>
                <w:sz w:val="21"/>
                <w:szCs w:val="21"/>
              </w:rPr>
              <w:t>6、航行信号设备</w:t>
            </w:r>
          </w:p>
          <w:p w14:paraId="22597E93">
            <w:pPr>
              <w:spacing w:line="360" w:lineRule="auto"/>
              <w:rPr>
                <w:rFonts w:hint="eastAsia" w:ascii="宋体" w:eastAsia="宋体" w:cs="宋体"/>
                <w:kern w:val="0"/>
                <w:sz w:val="21"/>
                <w:szCs w:val="21"/>
              </w:rPr>
            </w:pPr>
            <w:r>
              <w:rPr>
                <w:rFonts w:hint="eastAsia" w:ascii="宋体" w:cs="宋体"/>
                <w:kern w:val="0"/>
                <w:sz w:val="21"/>
                <w:szCs w:val="21"/>
                <w:highlight w:val="none"/>
                <w:lang w:val="en-US" w:eastAsia="zh-CN"/>
              </w:rPr>
              <w:t>公务艇</w:t>
            </w:r>
            <w:r>
              <w:rPr>
                <w:rFonts w:hint="eastAsia" w:ascii="宋体" w:eastAsia="宋体" w:cs="宋体"/>
                <w:kern w:val="0"/>
                <w:sz w:val="21"/>
                <w:szCs w:val="21"/>
              </w:rPr>
              <w:t>航行信号灯按规范要求配置。所有航行信号灯可通过设在驾驶台的航行信号灯板进行控制。航行信号灯板具有故障声光报警功能。</w:t>
            </w:r>
          </w:p>
        </w:tc>
      </w:tr>
      <w:tr w14:paraId="1B0D7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707" w:type="dxa"/>
            <w:vMerge w:val="continue"/>
          </w:tcPr>
          <w:p w14:paraId="7B86A232"/>
        </w:tc>
        <w:tc>
          <w:tcPr>
            <w:tcW w:w="1292" w:type="dxa"/>
            <w:vMerge w:val="continue"/>
          </w:tcPr>
          <w:p w14:paraId="57CE2BC4"/>
        </w:tc>
        <w:tc>
          <w:tcPr>
            <w:tcW w:w="6875" w:type="dxa"/>
          </w:tcPr>
          <w:p w14:paraId="77962932">
            <w:pPr>
              <w:spacing w:line="360" w:lineRule="auto"/>
              <w:rPr>
                <w:rFonts w:hint="eastAsia" w:ascii="宋体" w:eastAsia="宋体" w:cs="宋体"/>
                <w:kern w:val="0"/>
                <w:sz w:val="21"/>
                <w:szCs w:val="21"/>
              </w:rPr>
            </w:pPr>
            <w:r>
              <w:rPr>
                <w:rFonts w:hint="eastAsia" w:ascii="宋体" w:eastAsia="宋体" w:cs="宋体"/>
                <w:kern w:val="0"/>
                <w:sz w:val="21"/>
                <w:szCs w:val="21"/>
              </w:rPr>
              <w:t>7、航行设备</w:t>
            </w:r>
          </w:p>
          <w:p w14:paraId="136D9990">
            <w:pPr>
              <w:spacing w:line="360" w:lineRule="auto"/>
              <w:rPr>
                <w:rFonts w:hint="eastAsia" w:ascii="宋体" w:eastAsia="宋体" w:cs="宋体"/>
                <w:kern w:val="0"/>
                <w:sz w:val="21"/>
                <w:szCs w:val="21"/>
              </w:rPr>
            </w:pPr>
            <w:r>
              <w:rPr>
                <w:rFonts w:hint="eastAsia" w:ascii="宋体" w:eastAsia="宋体" w:cs="宋体"/>
                <w:kern w:val="0"/>
                <w:sz w:val="21"/>
                <w:szCs w:val="21"/>
              </w:rPr>
              <w:t>（1）配有1台磁罗经。</w:t>
            </w:r>
          </w:p>
          <w:p w14:paraId="466AFB8A">
            <w:pPr>
              <w:spacing w:line="360" w:lineRule="auto"/>
              <w:rPr>
                <w:rFonts w:hint="eastAsia" w:ascii="宋体" w:eastAsia="宋体" w:cs="宋体"/>
                <w:kern w:val="0"/>
                <w:sz w:val="21"/>
                <w:szCs w:val="21"/>
              </w:rPr>
            </w:pPr>
            <w:r>
              <w:rPr>
                <w:rFonts w:hint="eastAsia" w:ascii="宋体" w:eastAsia="宋体" w:cs="宋体"/>
                <w:kern w:val="0"/>
                <w:sz w:val="21"/>
                <w:szCs w:val="21"/>
              </w:rPr>
              <w:t>（2）配有1台多功能导航系统一套，兼测深、GPS、雷达及海图功能，含多功能显示器一台、雷达天线一套、定位仪天线一根、海图卡一张、测深探头一个。</w:t>
            </w:r>
          </w:p>
          <w:p w14:paraId="0DD3617F">
            <w:pPr>
              <w:spacing w:line="360" w:lineRule="auto"/>
              <w:rPr>
                <w:rFonts w:hint="eastAsia" w:ascii="宋体" w:eastAsia="宋体" w:cs="宋体"/>
                <w:kern w:val="0"/>
                <w:sz w:val="21"/>
                <w:szCs w:val="21"/>
              </w:rPr>
            </w:pPr>
            <w:r>
              <w:rPr>
                <w:rFonts w:hint="eastAsia" w:ascii="宋体" w:eastAsia="宋体" w:cs="宋体"/>
                <w:kern w:val="0"/>
                <w:sz w:val="21"/>
                <w:szCs w:val="21"/>
              </w:rPr>
              <w:t>（3）配有1套基于北斗B级自动识别系统。</w:t>
            </w:r>
          </w:p>
        </w:tc>
      </w:tr>
      <w:tr w14:paraId="2714E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707" w:type="dxa"/>
            <w:vMerge w:val="continue"/>
          </w:tcPr>
          <w:p w14:paraId="54B27F1F"/>
        </w:tc>
        <w:tc>
          <w:tcPr>
            <w:tcW w:w="1292" w:type="dxa"/>
            <w:vMerge w:val="continue"/>
          </w:tcPr>
          <w:p w14:paraId="60C86ABF"/>
        </w:tc>
        <w:tc>
          <w:tcPr>
            <w:tcW w:w="6875" w:type="dxa"/>
          </w:tcPr>
          <w:p w14:paraId="5A79C485">
            <w:pPr>
              <w:spacing w:line="360" w:lineRule="auto"/>
              <w:rPr>
                <w:rFonts w:hint="eastAsia" w:ascii="宋体" w:eastAsia="宋体" w:cs="宋体"/>
                <w:kern w:val="0"/>
                <w:sz w:val="21"/>
                <w:szCs w:val="21"/>
              </w:rPr>
            </w:pPr>
            <w:r>
              <w:rPr>
                <w:rFonts w:hint="eastAsia" w:ascii="宋体" w:eastAsia="宋体" w:cs="宋体"/>
                <w:kern w:val="0"/>
                <w:sz w:val="21"/>
                <w:szCs w:val="21"/>
              </w:rPr>
              <w:t>8</w:t>
            </w:r>
            <w:r>
              <w:rPr>
                <w:rFonts w:hint="eastAsia" w:ascii="宋体" w:eastAsia="宋体" w:cs="宋体"/>
                <w:kern w:val="0"/>
                <w:sz w:val="21"/>
                <w:szCs w:val="21"/>
                <w:highlight w:val="none"/>
              </w:rPr>
              <w:t>、</w:t>
            </w:r>
            <w:r>
              <w:rPr>
                <w:rFonts w:hint="eastAsia" w:ascii="宋体" w:eastAsia="宋体" w:cs="宋体"/>
                <w:kern w:val="0"/>
                <w:sz w:val="21"/>
                <w:szCs w:val="21"/>
              </w:rPr>
              <w:t>无线电通信设备</w:t>
            </w:r>
          </w:p>
          <w:p w14:paraId="6F5EADA3">
            <w:pPr>
              <w:spacing w:line="360" w:lineRule="auto"/>
              <w:rPr>
                <w:rFonts w:hint="eastAsia" w:ascii="宋体" w:eastAsia="宋体" w:cs="宋体"/>
                <w:kern w:val="0"/>
                <w:sz w:val="21"/>
                <w:szCs w:val="21"/>
              </w:rPr>
            </w:pPr>
            <w:r>
              <w:rPr>
                <w:rFonts w:hint="eastAsia" w:ascii="宋体" w:eastAsia="宋体" w:cs="宋体"/>
                <w:kern w:val="0"/>
                <w:sz w:val="21"/>
                <w:szCs w:val="21"/>
              </w:rPr>
              <w:t>（1）配有1套甚高频电话，带DSC功能。</w:t>
            </w:r>
          </w:p>
          <w:p w14:paraId="661A7BDF">
            <w:pPr>
              <w:spacing w:line="360" w:lineRule="auto"/>
              <w:rPr>
                <w:rFonts w:hint="eastAsia" w:ascii="宋体" w:eastAsia="宋体" w:cs="宋体"/>
                <w:kern w:val="0"/>
                <w:sz w:val="21"/>
                <w:szCs w:val="21"/>
              </w:rPr>
            </w:pPr>
            <w:r>
              <w:rPr>
                <w:rFonts w:hint="eastAsia" w:ascii="宋体" w:eastAsia="宋体" w:cs="宋体"/>
                <w:kern w:val="0"/>
                <w:sz w:val="21"/>
                <w:szCs w:val="21"/>
              </w:rPr>
              <w:t>（2）配有1台便携式甚高频电话。</w:t>
            </w:r>
          </w:p>
          <w:p w14:paraId="78D68A58">
            <w:pPr>
              <w:spacing w:line="360" w:lineRule="auto"/>
              <w:rPr>
                <w:rFonts w:hint="eastAsia" w:ascii="宋体" w:eastAsia="宋体" w:cs="宋体"/>
                <w:kern w:val="0"/>
                <w:sz w:val="21"/>
                <w:szCs w:val="21"/>
              </w:rPr>
            </w:pPr>
            <w:r>
              <w:rPr>
                <w:rFonts w:hint="eastAsia" w:ascii="宋体" w:eastAsia="宋体" w:cs="宋体"/>
                <w:kern w:val="0"/>
                <w:sz w:val="21"/>
                <w:szCs w:val="21"/>
              </w:rPr>
              <w:t>（3）配有1台雷达应答器。</w:t>
            </w:r>
          </w:p>
          <w:p w14:paraId="0A375E2B">
            <w:pPr>
              <w:spacing w:line="360" w:lineRule="auto"/>
              <w:rPr>
                <w:rFonts w:hint="eastAsia" w:ascii="宋体" w:eastAsia="宋体" w:cs="宋体"/>
                <w:kern w:val="0"/>
                <w:sz w:val="21"/>
                <w:szCs w:val="21"/>
              </w:rPr>
            </w:pPr>
            <w:r>
              <w:rPr>
                <w:rFonts w:hint="eastAsia" w:ascii="宋体" w:eastAsia="宋体" w:cs="宋体"/>
                <w:kern w:val="0"/>
                <w:sz w:val="21"/>
                <w:szCs w:val="21"/>
              </w:rPr>
              <w:t>（4）配有1台双向甚高频电话。</w:t>
            </w:r>
          </w:p>
        </w:tc>
      </w:tr>
      <w:tr w14:paraId="6811F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707" w:type="dxa"/>
            <w:vMerge w:val="continue"/>
          </w:tcPr>
          <w:p w14:paraId="31CD1678"/>
        </w:tc>
        <w:tc>
          <w:tcPr>
            <w:tcW w:w="1292" w:type="dxa"/>
            <w:vMerge w:val="continue"/>
          </w:tcPr>
          <w:p w14:paraId="0162F455"/>
        </w:tc>
        <w:tc>
          <w:tcPr>
            <w:tcW w:w="6875" w:type="dxa"/>
          </w:tcPr>
          <w:p w14:paraId="6E2241E6">
            <w:pPr>
              <w:spacing w:line="360" w:lineRule="auto"/>
              <w:rPr>
                <w:rFonts w:hint="eastAsia" w:ascii="宋体" w:eastAsia="宋体" w:cs="宋体"/>
                <w:kern w:val="0"/>
                <w:sz w:val="21"/>
                <w:szCs w:val="21"/>
              </w:rPr>
            </w:pPr>
            <w:r>
              <w:rPr>
                <w:rFonts w:hint="eastAsia" w:ascii="宋体" w:eastAsia="宋体" w:cs="宋体"/>
                <w:kern w:val="0"/>
                <w:sz w:val="21"/>
                <w:szCs w:val="21"/>
              </w:rPr>
              <w:t>9</w:t>
            </w:r>
            <w:r>
              <w:rPr>
                <w:rFonts w:hint="eastAsia" w:ascii="宋体" w:cs="宋体"/>
                <w:kern w:val="0"/>
                <w:sz w:val="21"/>
                <w:szCs w:val="21"/>
                <w:lang w:eastAsia="zh-CN"/>
              </w:rPr>
              <w:t>、</w:t>
            </w:r>
            <w:r>
              <w:rPr>
                <w:rFonts w:hint="eastAsia" w:ascii="宋体" w:eastAsia="宋体" w:cs="宋体"/>
                <w:kern w:val="0"/>
                <w:sz w:val="21"/>
                <w:szCs w:val="21"/>
              </w:rPr>
              <w:t>船内通信和报警设备</w:t>
            </w:r>
          </w:p>
          <w:p w14:paraId="71CC47AA">
            <w:pPr>
              <w:spacing w:line="360" w:lineRule="auto"/>
              <w:rPr>
                <w:rFonts w:hint="eastAsia" w:ascii="宋体" w:eastAsia="宋体" w:cs="宋体"/>
                <w:kern w:val="0"/>
                <w:sz w:val="21"/>
                <w:szCs w:val="21"/>
              </w:rPr>
            </w:pPr>
            <w:r>
              <w:rPr>
                <w:rFonts w:hint="eastAsia" w:ascii="宋体" w:eastAsia="宋体" w:cs="宋体"/>
                <w:kern w:val="0"/>
                <w:sz w:val="21"/>
                <w:szCs w:val="21"/>
              </w:rPr>
              <w:t xml:space="preserve">（1） </w:t>
            </w:r>
            <w:r>
              <w:rPr>
                <w:rFonts w:hint="eastAsia" w:ascii="宋体" w:cs="宋体"/>
                <w:kern w:val="0"/>
                <w:sz w:val="21"/>
                <w:szCs w:val="21"/>
                <w:highlight w:val="none"/>
                <w:lang w:val="en-US" w:eastAsia="zh-CN"/>
              </w:rPr>
              <w:t>公务艇</w:t>
            </w:r>
            <w:r>
              <w:rPr>
                <w:rFonts w:hint="eastAsia" w:ascii="宋体" w:eastAsia="宋体" w:cs="宋体"/>
                <w:kern w:val="0"/>
                <w:sz w:val="21"/>
                <w:szCs w:val="21"/>
              </w:rPr>
              <w:t>在驾驶室底水报警装置1套，并在艉舱及艏尖舱设有高水位报警浮子开关。</w:t>
            </w:r>
          </w:p>
          <w:p w14:paraId="70D284CC">
            <w:pPr>
              <w:spacing w:line="360" w:lineRule="auto"/>
              <w:rPr>
                <w:rFonts w:hint="eastAsia" w:ascii="宋体" w:eastAsia="宋体" w:cs="宋体"/>
                <w:kern w:val="0"/>
                <w:sz w:val="21"/>
                <w:szCs w:val="21"/>
              </w:rPr>
            </w:pPr>
            <w:r>
              <w:rPr>
                <w:rFonts w:hint="eastAsia" w:ascii="宋体" w:eastAsia="宋体" w:cs="宋体"/>
                <w:kern w:val="0"/>
                <w:sz w:val="21"/>
                <w:szCs w:val="21"/>
              </w:rPr>
              <w:t>（2）顶部设电笛1只，由驾控台电笛开关控制。</w:t>
            </w:r>
          </w:p>
        </w:tc>
      </w:tr>
      <w:tr w14:paraId="0AE9A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707" w:type="dxa"/>
            <w:vMerge w:val="continue"/>
          </w:tcPr>
          <w:p w14:paraId="1D50BCC9"/>
        </w:tc>
        <w:tc>
          <w:tcPr>
            <w:tcW w:w="1292" w:type="dxa"/>
            <w:vMerge w:val="continue"/>
          </w:tcPr>
          <w:p w14:paraId="04C2DA14"/>
        </w:tc>
        <w:tc>
          <w:tcPr>
            <w:tcW w:w="6875" w:type="dxa"/>
          </w:tcPr>
          <w:p w14:paraId="1EBF0214">
            <w:pPr>
              <w:spacing w:line="360" w:lineRule="auto"/>
              <w:rPr>
                <w:rFonts w:hint="eastAsia" w:ascii="宋体" w:eastAsia="宋体" w:cs="宋体"/>
                <w:kern w:val="0"/>
                <w:sz w:val="21"/>
                <w:szCs w:val="21"/>
              </w:rPr>
            </w:pPr>
            <w:r>
              <w:rPr>
                <w:rFonts w:hint="eastAsia" w:ascii="宋体" w:eastAsia="宋体" w:cs="宋体"/>
                <w:kern w:val="0"/>
                <w:sz w:val="21"/>
                <w:szCs w:val="21"/>
              </w:rPr>
              <w:t>10</w:t>
            </w:r>
            <w:r>
              <w:rPr>
                <w:rFonts w:hint="eastAsia" w:ascii="宋体" w:cs="宋体"/>
                <w:kern w:val="0"/>
                <w:sz w:val="21"/>
                <w:szCs w:val="21"/>
                <w:lang w:eastAsia="zh-CN"/>
              </w:rPr>
              <w:t>、</w:t>
            </w:r>
            <w:r>
              <w:rPr>
                <w:rFonts w:hint="eastAsia" w:ascii="宋体" w:eastAsia="宋体" w:cs="宋体"/>
                <w:kern w:val="0"/>
                <w:sz w:val="21"/>
                <w:szCs w:val="21"/>
              </w:rPr>
              <w:t>避雷与设备安全接地</w:t>
            </w:r>
          </w:p>
          <w:p w14:paraId="117B1E59">
            <w:pPr>
              <w:spacing w:line="360" w:lineRule="auto"/>
              <w:rPr>
                <w:rFonts w:hint="eastAsia" w:ascii="宋体" w:eastAsia="宋体" w:cs="宋体"/>
                <w:kern w:val="0"/>
                <w:sz w:val="21"/>
                <w:szCs w:val="21"/>
              </w:rPr>
            </w:pPr>
            <w:r>
              <w:rPr>
                <w:rFonts w:hint="eastAsia" w:ascii="宋体" w:eastAsia="宋体" w:cs="宋体"/>
                <w:kern w:val="0"/>
                <w:sz w:val="21"/>
                <w:szCs w:val="21"/>
              </w:rPr>
              <w:t>（1）在顶蓬甲板的桅杆顶部安装有一根φ12</w:t>
            </w:r>
            <w:r>
              <w:rPr>
                <w:rFonts w:hint="eastAsia" w:ascii="宋体" w:cs="宋体"/>
                <w:kern w:val="0"/>
                <w:sz w:val="21"/>
                <w:szCs w:val="21"/>
                <w:lang w:val="en-US" w:eastAsia="zh-CN"/>
              </w:rPr>
              <w:t>mm</w:t>
            </w:r>
            <w:r>
              <w:rPr>
                <w:rFonts w:hint="eastAsia" w:ascii="宋体" w:eastAsia="宋体" w:cs="宋体"/>
                <w:kern w:val="0"/>
                <w:sz w:val="21"/>
                <w:szCs w:val="21"/>
              </w:rPr>
              <w:t xml:space="preserve">, L=300mm的铝合金避雷针，横截面不小于8mm²,并高于桅杆灯150mm。通过桅杆与船壳连接。 </w:t>
            </w:r>
          </w:p>
          <w:p w14:paraId="0C0F9154">
            <w:pPr>
              <w:spacing w:line="360" w:lineRule="auto"/>
              <w:rPr>
                <w:rFonts w:hint="eastAsia" w:ascii="宋体" w:eastAsia="宋体" w:cs="宋体"/>
                <w:kern w:val="0"/>
                <w:sz w:val="21"/>
                <w:szCs w:val="21"/>
              </w:rPr>
            </w:pPr>
            <w:r>
              <w:rPr>
                <w:rFonts w:hint="eastAsia" w:ascii="宋体" w:eastAsia="宋体" w:cs="宋体"/>
                <w:kern w:val="0"/>
                <w:sz w:val="21"/>
                <w:szCs w:val="21"/>
              </w:rPr>
              <w:t>（2）</w:t>
            </w:r>
            <w:r>
              <w:rPr>
                <w:rFonts w:hint="eastAsia" w:ascii="宋体" w:cs="宋体"/>
                <w:kern w:val="0"/>
                <w:sz w:val="21"/>
                <w:szCs w:val="21"/>
                <w:highlight w:val="none"/>
                <w:lang w:val="en-US" w:eastAsia="zh-CN"/>
              </w:rPr>
              <w:t>公务艇</w:t>
            </w:r>
            <w:r>
              <w:rPr>
                <w:rFonts w:hint="eastAsia" w:ascii="宋体" w:eastAsia="宋体" w:cs="宋体"/>
                <w:kern w:val="0"/>
                <w:sz w:val="21"/>
                <w:szCs w:val="21"/>
              </w:rPr>
              <w:t>的油箱、主机、全船栏杆、配电箱等设备均需有效接地。</w:t>
            </w:r>
          </w:p>
        </w:tc>
      </w:tr>
      <w:tr w14:paraId="18E20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07" w:type="dxa"/>
            <w:vMerge w:val="continue"/>
          </w:tcPr>
          <w:p w14:paraId="5BDCB333"/>
        </w:tc>
        <w:tc>
          <w:tcPr>
            <w:tcW w:w="1292" w:type="dxa"/>
            <w:vMerge w:val="continue"/>
          </w:tcPr>
          <w:p w14:paraId="0C6F5235"/>
        </w:tc>
        <w:tc>
          <w:tcPr>
            <w:tcW w:w="6875" w:type="dxa"/>
          </w:tcPr>
          <w:p w14:paraId="10DBB9F4">
            <w:pPr>
              <w:spacing w:line="360" w:lineRule="auto"/>
              <w:rPr>
                <w:rFonts w:hint="eastAsia" w:ascii="宋体" w:eastAsia="宋体" w:cs="宋体"/>
                <w:kern w:val="0"/>
                <w:sz w:val="21"/>
                <w:szCs w:val="21"/>
              </w:rPr>
            </w:pPr>
            <w:r>
              <w:rPr>
                <w:rFonts w:hint="eastAsia" w:ascii="宋体" w:eastAsia="宋体" w:cs="宋体"/>
                <w:kern w:val="0"/>
                <w:sz w:val="21"/>
                <w:szCs w:val="21"/>
              </w:rPr>
              <w:t>11 电缆</w:t>
            </w:r>
          </w:p>
          <w:p w14:paraId="7CC173CB">
            <w:pPr>
              <w:spacing w:line="360" w:lineRule="auto"/>
              <w:rPr>
                <w:rFonts w:hint="eastAsia" w:ascii="宋体" w:eastAsia="宋体" w:cs="宋体"/>
                <w:kern w:val="0"/>
                <w:sz w:val="21"/>
                <w:szCs w:val="21"/>
              </w:rPr>
            </w:pPr>
            <w:r>
              <w:rPr>
                <w:rFonts w:hint="eastAsia" w:ascii="宋体" w:eastAsia="宋体" w:cs="宋体"/>
                <w:kern w:val="0"/>
                <w:sz w:val="21"/>
                <w:szCs w:val="21"/>
              </w:rPr>
              <w:t>（1）</w:t>
            </w:r>
            <w:r>
              <w:rPr>
                <w:rFonts w:hint="eastAsia" w:ascii="宋体" w:cs="宋体"/>
                <w:kern w:val="0"/>
                <w:sz w:val="21"/>
                <w:szCs w:val="21"/>
                <w:highlight w:val="none"/>
                <w:lang w:val="en-US" w:eastAsia="zh-CN"/>
              </w:rPr>
              <w:t>公务艇</w:t>
            </w:r>
            <w:r>
              <w:rPr>
                <w:rFonts w:hint="eastAsia" w:ascii="宋体" w:eastAsia="宋体" w:cs="宋体"/>
                <w:kern w:val="0"/>
                <w:sz w:val="21"/>
                <w:szCs w:val="21"/>
              </w:rPr>
              <w:t>电缆采用“CCS”认可型CEPF、CEFR船用电缆（随机电缆除外）。</w:t>
            </w:r>
          </w:p>
          <w:p w14:paraId="3F4A734E">
            <w:pPr>
              <w:spacing w:line="360" w:lineRule="auto"/>
              <w:rPr>
                <w:rFonts w:hint="eastAsia" w:ascii="宋体" w:eastAsia="宋体" w:cs="宋体"/>
                <w:kern w:val="0"/>
                <w:sz w:val="21"/>
                <w:szCs w:val="21"/>
              </w:rPr>
            </w:pPr>
            <w:r>
              <w:rPr>
                <w:rFonts w:hint="eastAsia" w:ascii="宋体" w:eastAsia="宋体" w:cs="宋体"/>
                <w:kern w:val="0"/>
                <w:sz w:val="21"/>
                <w:szCs w:val="21"/>
              </w:rPr>
              <w:t>（2）全船电缆应拉敷整齐，平直，易于检修。</w:t>
            </w:r>
          </w:p>
          <w:p w14:paraId="42A06AA7">
            <w:pPr>
              <w:spacing w:line="360" w:lineRule="auto"/>
              <w:rPr>
                <w:rFonts w:hint="eastAsia" w:ascii="宋体" w:eastAsia="宋体" w:cs="宋体"/>
                <w:kern w:val="0"/>
                <w:sz w:val="21"/>
                <w:szCs w:val="21"/>
              </w:rPr>
            </w:pPr>
            <w:r>
              <w:rPr>
                <w:rFonts w:hint="eastAsia" w:ascii="宋体" w:eastAsia="宋体" w:cs="宋体"/>
                <w:kern w:val="0"/>
                <w:sz w:val="21"/>
                <w:szCs w:val="21"/>
              </w:rPr>
              <w:t>（3）电缆的穿舱件应确保水密性。</w:t>
            </w:r>
          </w:p>
        </w:tc>
      </w:tr>
      <w:tr w14:paraId="11062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707" w:type="dxa"/>
            <w:vMerge w:val="restart"/>
            <w:vAlign w:val="center"/>
          </w:tcPr>
          <w:p w14:paraId="2689AF6B">
            <w:pPr>
              <w:spacing w:line="360" w:lineRule="auto"/>
              <w:jc w:val="center"/>
              <w:rPr>
                <w:rFonts w:hint="eastAsia" w:ascii="宋体" w:eastAsia="宋体" w:cs="宋体"/>
                <w:sz w:val="21"/>
                <w:szCs w:val="21"/>
                <w:lang w:eastAsia="zh-CN"/>
              </w:rPr>
            </w:pPr>
            <w:r>
              <w:rPr>
                <w:rFonts w:hint="eastAsia" w:ascii="宋体" w:eastAsia="宋体" w:cs="宋体"/>
                <w:sz w:val="21"/>
                <w:szCs w:val="21"/>
                <w:lang w:val="en-US" w:eastAsia="zh-CN"/>
              </w:rPr>
              <w:t>3</w:t>
            </w:r>
          </w:p>
        </w:tc>
        <w:tc>
          <w:tcPr>
            <w:tcW w:w="1292" w:type="dxa"/>
            <w:vMerge w:val="restart"/>
            <w:vAlign w:val="center"/>
          </w:tcPr>
          <w:p w14:paraId="2FC750E7">
            <w:pPr>
              <w:spacing w:line="360" w:lineRule="auto"/>
              <w:jc w:val="center"/>
              <w:rPr>
                <w:rFonts w:hint="eastAsia" w:ascii="宋体" w:eastAsia="宋体" w:cs="宋体"/>
                <w:sz w:val="21"/>
                <w:szCs w:val="21"/>
              </w:rPr>
            </w:pPr>
            <w:r>
              <w:rPr>
                <w:rFonts w:hint="eastAsia" w:ascii="宋体" w:eastAsia="宋体" w:cs="宋体"/>
                <w:bCs/>
                <w:sz w:val="21"/>
                <w:szCs w:val="21"/>
              </w:rPr>
              <w:t>公务艇（10米半蓬敞开艇）</w:t>
            </w:r>
          </w:p>
        </w:tc>
        <w:tc>
          <w:tcPr>
            <w:tcW w:w="6875" w:type="dxa"/>
          </w:tcPr>
          <w:p w14:paraId="5AE550B9">
            <w:pPr>
              <w:spacing w:line="360" w:lineRule="auto"/>
              <w:rPr>
                <w:rFonts w:hint="eastAsia" w:ascii="宋体" w:eastAsia="宋体" w:cs="宋体"/>
                <w:sz w:val="21"/>
                <w:szCs w:val="21"/>
              </w:rPr>
            </w:pPr>
            <w:r>
              <w:rPr>
                <w:rFonts w:hint="eastAsia" w:ascii="宋体" w:eastAsia="宋体" w:cs="宋体"/>
                <w:sz w:val="21"/>
                <w:szCs w:val="21"/>
              </w:rPr>
              <w:t>1.</w:t>
            </w:r>
            <w:r>
              <w:rPr>
                <w:rFonts w:hint="eastAsia" w:ascii="宋体" w:cs="宋体"/>
                <w:sz w:val="21"/>
                <w:szCs w:val="21"/>
                <w:lang w:val="en-US" w:eastAsia="zh-CN"/>
              </w:rPr>
              <w:t>需求概况</w:t>
            </w:r>
            <w:r>
              <w:rPr>
                <w:rFonts w:hint="eastAsia" w:ascii="宋体" w:eastAsia="宋体" w:cs="宋体"/>
                <w:sz w:val="21"/>
                <w:szCs w:val="21"/>
              </w:rPr>
              <w:t>：</w:t>
            </w:r>
          </w:p>
          <w:p w14:paraId="6D3DFF93">
            <w:pPr>
              <w:spacing w:line="360" w:lineRule="auto"/>
              <w:rPr>
                <w:rFonts w:hint="eastAsia" w:ascii="宋体" w:eastAsia="宋体" w:cs="宋体"/>
                <w:b w:val="0"/>
                <w:bCs w:val="0"/>
                <w:sz w:val="21"/>
                <w:szCs w:val="21"/>
                <w:highlight w:val="none"/>
              </w:rPr>
            </w:pPr>
            <w:r>
              <w:rPr>
                <w:rFonts w:hint="eastAsia" w:ascii="宋体" w:eastAsia="宋体" w:cs="宋体"/>
                <w:b w:val="0"/>
                <w:bCs w:val="0"/>
                <w:kern w:val="0"/>
                <w:sz w:val="21"/>
                <w:szCs w:val="21"/>
                <w:highlight w:val="none"/>
              </w:rPr>
              <w:t>（</w:t>
            </w:r>
            <w:r>
              <w:rPr>
                <w:rFonts w:hint="eastAsia" w:ascii="宋体" w:cs="宋体"/>
                <w:b w:val="0"/>
                <w:bCs w:val="0"/>
                <w:kern w:val="0"/>
                <w:sz w:val="21"/>
                <w:szCs w:val="21"/>
                <w:highlight w:val="none"/>
                <w:lang w:val="en-US" w:eastAsia="zh-CN"/>
              </w:rPr>
              <w:t>1</w:t>
            </w:r>
            <w:r>
              <w:rPr>
                <w:rFonts w:hint="eastAsia" w:ascii="宋体" w:eastAsia="宋体" w:cs="宋体"/>
                <w:b w:val="0"/>
                <w:bCs w:val="0"/>
                <w:kern w:val="0"/>
                <w:sz w:val="21"/>
                <w:szCs w:val="21"/>
                <w:highlight w:val="none"/>
              </w:rPr>
              <w:t>）抗风能力：不低于蒲氏6级。</w:t>
            </w:r>
          </w:p>
          <w:p w14:paraId="7B8C65A0">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w:t>
            </w:r>
            <w:r>
              <w:rPr>
                <w:rFonts w:hint="eastAsia" w:ascii="宋体" w:cs="宋体"/>
                <w:kern w:val="0"/>
                <w:sz w:val="21"/>
                <w:szCs w:val="21"/>
                <w:highlight w:val="none"/>
                <w:lang w:val="en-US" w:eastAsia="zh-CN"/>
              </w:rPr>
              <w:t>2</w:t>
            </w:r>
            <w:r>
              <w:rPr>
                <w:rFonts w:hint="eastAsia" w:ascii="宋体" w:eastAsia="宋体" w:cs="宋体"/>
                <w:kern w:val="0"/>
                <w:sz w:val="21"/>
                <w:szCs w:val="21"/>
                <w:highlight w:val="none"/>
              </w:rPr>
              <w:t>）规范和规则</w:t>
            </w:r>
          </w:p>
          <w:p w14:paraId="5F337886">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①中华人民共和国海事局（MSA）《公务船技术规则》（2020年）；</w:t>
            </w:r>
          </w:p>
          <w:p w14:paraId="1061D1C9">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②中华人民共和国海事局（MSA）《国内航行小型海船技术规则》（2024）；</w:t>
            </w:r>
          </w:p>
          <w:p w14:paraId="148921CE">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③中华人民共和国海事局（MSA）《吨位丈量规则》（2022年）；</w:t>
            </w:r>
          </w:p>
          <w:p w14:paraId="4096AF90">
            <w:pPr>
              <w:spacing w:line="360" w:lineRule="auto"/>
              <w:rPr>
                <w:rFonts w:hint="eastAsia" w:ascii="宋体" w:eastAsia="宋体" w:cs="宋体"/>
                <w:kern w:val="0"/>
                <w:sz w:val="21"/>
                <w:szCs w:val="21"/>
                <w:highlight w:val="none"/>
              </w:rPr>
            </w:pPr>
            <w:r>
              <w:rPr>
                <w:rFonts w:hint="eastAsia" w:ascii="宋体" w:eastAsia="宋体" w:cs="宋体"/>
                <w:kern w:val="0"/>
                <w:sz w:val="21"/>
                <w:szCs w:val="21"/>
                <w:highlight w:val="none"/>
              </w:rPr>
              <w:t>④中国船级社（CCS）《材料与焊接规范》（2024年）。</w:t>
            </w:r>
          </w:p>
          <w:p w14:paraId="7DE7575A">
            <w:pPr>
              <w:spacing w:line="360" w:lineRule="auto"/>
              <w:rPr>
                <w:rFonts w:hint="eastAsia" w:ascii="宋体" w:eastAsia="宋体" w:cs="宋体"/>
                <w:kern w:val="0"/>
                <w:sz w:val="21"/>
                <w:szCs w:val="21"/>
                <w:lang w:eastAsia="zh-CN"/>
              </w:rPr>
            </w:pPr>
            <w:r>
              <w:rPr>
                <w:rFonts w:hint="eastAsia" w:ascii="宋体" w:eastAsia="宋体" w:cs="宋体"/>
                <w:kern w:val="0"/>
                <w:sz w:val="21"/>
                <w:szCs w:val="21"/>
              </w:rPr>
              <w:t>（</w:t>
            </w:r>
            <w:r>
              <w:rPr>
                <w:rFonts w:hint="eastAsia" w:ascii="宋体" w:cs="宋体"/>
                <w:kern w:val="0"/>
                <w:sz w:val="21"/>
                <w:szCs w:val="21"/>
                <w:lang w:val="en-US" w:eastAsia="zh-CN"/>
              </w:rPr>
              <w:t>3</w:t>
            </w:r>
            <w:r>
              <w:rPr>
                <w:rFonts w:hint="eastAsia" w:ascii="宋体" w:eastAsia="宋体" w:cs="宋体"/>
                <w:kern w:val="0"/>
                <w:sz w:val="21"/>
                <w:szCs w:val="21"/>
              </w:rPr>
              <w:t>）干舷和储备浮力：要求干舷和储备浮力需满足MSA《国内航行小型海船技术规则》（2024）对敞开艇的相关要求</w:t>
            </w:r>
            <w:r>
              <w:rPr>
                <w:rFonts w:hint="eastAsia" w:ascii="宋体" w:cs="宋体"/>
                <w:kern w:val="0"/>
                <w:sz w:val="21"/>
                <w:szCs w:val="21"/>
                <w:lang w:eastAsia="zh-CN"/>
              </w:rPr>
              <w:t>。</w:t>
            </w:r>
          </w:p>
          <w:p w14:paraId="1CBD2DE0">
            <w:pPr>
              <w:spacing w:line="360" w:lineRule="auto"/>
              <w:rPr>
                <w:rFonts w:hint="eastAsia" w:ascii="宋体" w:eastAsia="宋体" w:cs="宋体"/>
                <w:kern w:val="0"/>
                <w:sz w:val="21"/>
                <w:szCs w:val="21"/>
              </w:rPr>
            </w:pPr>
            <w:r>
              <w:rPr>
                <w:rFonts w:hint="eastAsia" w:ascii="宋体" w:eastAsia="宋体" w:cs="宋体"/>
                <w:kern w:val="0"/>
                <w:sz w:val="21"/>
                <w:szCs w:val="21"/>
              </w:rPr>
              <w:t>（</w:t>
            </w:r>
            <w:r>
              <w:rPr>
                <w:rFonts w:hint="eastAsia" w:ascii="宋体" w:cs="宋体"/>
                <w:kern w:val="0"/>
                <w:sz w:val="21"/>
                <w:szCs w:val="21"/>
                <w:lang w:val="en-US" w:eastAsia="zh-CN"/>
              </w:rPr>
              <w:t>4</w:t>
            </w:r>
            <w:r>
              <w:rPr>
                <w:rFonts w:hint="eastAsia" w:ascii="宋体" w:eastAsia="宋体" w:cs="宋体"/>
                <w:kern w:val="0"/>
                <w:sz w:val="21"/>
                <w:szCs w:val="21"/>
              </w:rPr>
              <w:t>）完整稳性：要求稳性需满足MSA《国内航行小型海船技术规则》（2024）和《国内航行海船法定检验技术规则》（2020年）对高速船舶的相关要求。</w:t>
            </w:r>
          </w:p>
          <w:p w14:paraId="73BEF964">
            <w:pPr>
              <w:spacing w:line="360" w:lineRule="auto"/>
              <w:rPr>
                <w:rFonts w:hint="eastAsia" w:ascii="宋体" w:eastAsia="宋体" w:cs="宋体"/>
                <w:kern w:val="0"/>
                <w:sz w:val="21"/>
                <w:szCs w:val="21"/>
              </w:rPr>
            </w:pPr>
            <w:r>
              <w:rPr>
                <w:rFonts w:hint="eastAsia" w:ascii="宋体" w:eastAsia="宋体" w:cs="宋体"/>
                <w:kern w:val="0"/>
                <w:sz w:val="21"/>
                <w:szCs w:val="21"/>
              </w:rPr>
              <w:t>（</w:t>
            </w:r>
            <w:r>
              <w:rPr>
                <w:rFonts w:hint="eastAsia" w:ascii="宋体" w:cs="宋体"/>
                <w:kern w:val="0"/>
                <w:sz w:val="21"/>
                <w:szCs w:val="21"/>
                <w:lang w:val="en-US" w:eastAsia="zh-CN"/>
              </w:rPr>
              <w:t>5</w:t>
            </w:r>
            <w:r>
              <w:rPr>
                <w:rFonts w:hint="eastAsia" w:ascii="宋体" w:eastAsia="宋体" w:cs="宋体"/>
                <w:kern w:val="0"/>
                <w:sz w:val="21"/>
                <w:szCs w:val="21"/>
              </w:rPr>
              <w:t>）破损稳性：要求破损稳性需满足MSA《国内航行小型海船技术规则》（2024）的相关要求，满足进水不沉。</w:t>
            </w:r>
          </w:p>
        </w:tc>
      </w:tr>
      <w:tr w14:paraId="0CE4D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7" w:type="dxa"/>
            <w:vMerge w:val="continue"/>
          </w:tcPr>
          <w:p w14:paraId="061B006A"/>
        </w:tc>
        <w:tc>
          <w:tcPr>
            <w:tcW w:w="1292" w:type="dxa"/>
            <w:vMerge w:val="continue"/>
          </w:tcPr>
          <w:p w14:paraId="7F8F74C2"/>
        </w:tc>
        <w:tc>
          <w:tcPr>
            <w:tcW w:w="6875" w:type="dxa"/>
          </w:tcPr>
          <w:p w14:paraId="3438E71A">
            <w:pPr>
              <w:spacing w:line="360" w:lineRule="auto"/>
              <w:rPr>
                <w:rFonts w:hint="eastAsia" w:ascii="宋体" w:eastAsia="宋体" w:cs="宋体"/>
                <w:kern w:val="0"/>
                <w:sz w:val="21"/>
                <w:szCs w:val="21"/>
              </w:rPr>
            </w:pPr>
            <w:r>
              <w:rPr>
                <w:rFonts w:hint="eastAsia" w:ascii="宋体" w:eastAsia="宋体" w:cs="宋体"/>
                <w:kern w:val="0"/>
                <w:sz w:val="21"/>
                <w:szCs w:val="21"/>
              </w:rPr>
              <w:t>（一）、船体部分</w:t>
            </w:r>
          </w:p>
          <w:p w14:paraId="4EA7F24F">
            <w:pPr>
              <w:spacing w:line="360" w:lineRule="auto"/>
              <w:rPr>
                <w:rFonts w:hint="eastAsia" w:ascii="宋体" w:cs="宋体"/>
                <w:kern w:val="0"/>
                <w:sz w:val="21"/>
                <w:szCs w:val="21"/>
                <w:lang w:val="en-US" w:eastAsia="zh-CN"/>
              </w:rPr>
            </w:pPr>
            <w:r>
              <w:rPr>
                <w:rFonts w:hint="eastAsia" w:ascii="宋体" w:eastAsia="宋体" w:cs="宋体"/>
                <w:kern w:val="0"/>
                <w:sz w:val="21"/>
                <w:szCs w:val="21"/>
              </w:rPr>
              <w:t>1.</w:t>
            </w:r>
            <w:r>
              <w:rPr>
                <w:rFonts w:hint="eastAsia" w:ascii="宋体" w:cs="宋体"/>
                <w:kern w:val="0"/>
                <w:sz w:val="21"/>
                <w:szCs w:val="21"/>
                <w:lang w:val="en-US" w:eastAsia="zh-CN"/>
              </w:rPr>
              <w:t>总体要求</w:t>
            </w:r>
          </w:p>
          <w:p w14:paraId="59C047FF">
            <w:pPr>
              <w:spacing w:line="360" w:lineRule="auto"/>
              <w:rPr>
                <w:rFonts w:hint="eastAsia" w:ascii="宋体" w:eastAsia="宋体" w:cs="宋体"/>
                <w:kern w:val="0"/>
                <w:sz w:val="21"/>
                <w:szCs w:val="21"/>
              </w:rPr>
            </w:pPr>
            <w:r>
              <w:rPr>
                <w:rFonts w:hint="eastAsia" w:ascii="宋体" w:eastAsia="宋体" w:cs="宋体"/>
                <w:bCs/>
                <w:sz w:val="21"/>
                <w:szCs w:val="21"/>
              </w:rPr>
              <w:t>公务艇</w:t>
            </w:r>
            <w:r>
              <w:rPr>
                <w:rFonts w:hint="eastAsia" w:ascii="宋体" w:eastAsia="宋体" w:cs="宋体"/>
                <w:kern w:val="0"/>
                <w:sz w:val="21"/>
                <w:szCs w:val="21"/>
              </w:rPr>
              <w:t>为前倾式艏柱，单体，折角深 V 滑行艇船型。</w:t>
            </w:r>
            <w:r>
              <w:rPr>
                <w:rFonts w:hint="eastAsia" w:ascii="宋体" w:cs="宋体"/>
                <w:kern w:val="0"/>
                <w:sz w:val="21"/>
                <w:szCs w:val="21"/>
                <w:lang w:val="en-US" w:eastAsia="zh-CN"/>
              </w:rPr>
              <w:t>船艇类型</w:t>
            </w:r>
            <w:r>
              <w:rPr>
                <w:rFonts w:hint="eastAsia" w:ascii="宋体" w:eastAsia="宋体" w:cs="宋体"/>
                <w:kern w:val="0"/>
                <w:sz w:val="21"/>
                <w:szCs w:val="21"/>
              </w:rPr>
              <w:t>为半蓬</w:t>
            </w:r>
            <w:r>
              <w:rPr>
                <w:rFonts w:hint="eastAsia" w:ascii="宋体" w:eastAsia="宋体" w:cs="宋体"/>
                <w:sz w:val="21"/>
                <w:szCs w:val="21"/>
              </w:rPr>
              <w:t>敞开艇</w:t>
            </w:r>
            <w:r>
              <w:rPr>
                <w:rFonts w:hint="eastAsia" w:ascii="宋体" w:eastAsia="宋体" w:cs="宋体"/>
                <w:kern w:val="0"/>
                <w:sz w:val="21"/>
                <w:szCs w:val="21"/>
              </w:rPr>
              <w:t>。采用汽油舷外挂机驱动；全艇为全焊接铝合金结构，船用铝合金（5083-H116、6082-T6）。</w:t>
            </w:r>
          </w:p>
        </w:tc>
      </w:tr>
      <w:tr w14:paraId="1964C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07" w:type="dxa"/>
            <w:vMerge w:val="continue"/>
          </w:tcPr>
          <w:p w14:paraId="2CD447A9"/>
        </w:tc>
        <w:tc>
          <w:tcPr>
            <w:tcW w:w="1292" w:type="dxa"/>
            <w:vMerge w:val="continue"/>
          </w:tcPr>
          <w:p w14:paraId="7C8609D9"/>
        </w:tc>
        <w:tc>
          <w:tcPr>
            <w:tcW w:w="6875" w:type="dxa"/>
          </w:tcPr>
          <w:p w14:paraId="35EEE88A">
            <w:pPr>
              <w:spacing w:line="360" w:lineRule="auto"/>
              <w:rPr>
                <w:rFonts w:hint="eastAsia" w:ascii="宋体" w:eastAsia="宋体" w:cs="宋体"/>
                <w:b/>
                <w:bCs/>
                <w:kern w:val="0"/>
                <w:sz w:val="21"/>
                <w:szCs w:val="21"/>
                <w:highlight w:val="yellow"/>
              </w:rPr>
            </w:pPr>
            <w:r>
              <w:rPr>
                <w:rFonts w:hint="eastAsia" w:ascii="宋体" w:eastAsia="宋体" w:cs="宋体"/>
                <w:b/>
                <w:bCs/>
                <w:kern w:val="0"/>
                <w:sz w:val="21"/>
                <w:szCs w:val="21"/>
                <w:highlight w:val="yellow"/>
              </w:rPr>
              <w:t>★1.1主要尺度及线型要素</w:t>
            </w:r>
          </w:p>
          <w:p w14:paraId="7D108D83">
            <w:pPr>
              <w:spacing w:line="360" w:lineRule="auto"/>
              <w:rPr>
                <w:rFonts w:hint="eastAsia" w:ascii="宋体" w:eastAsia="宋体" w:cs="宋体"/>
                <w:b/>
                <w:bCs/>
                <w:sz w:val="21"/>
                <w:szCs w:val="21"/>
                <w:highlight w:val="yellow"/>
              </w:rPr>
            </w:pPr>
            <w:r>
              <w:rPr>
                <w:rFonts w:hint="eastAsia" w:ascii="宋体" w:eastAsia="宋体" w:cs="宋体"/>
                <w:b/>
                <w:bCs/>
                <w:sz w:val="21"/>
                <w:szCs w:val="21"/>
                <w:highlight w:val="yellow"/>
              </w:rPr>
              <w:t>（</w:t>
            </w:r>
            <w:r>
              <w:rPr>
                <w:rFonts w:hint="eastAsia" w:ascii="宋体" w:cs="宋体"/>
                <w:b/>
                <w:bCs/>
                <w:sz w:val="21"/>
                <w:szCs w:val="21"/>
                <w:highlight w:val="yellow"/>
                <w:lang w:val="en-US" w:eastAsia="zh-CN"/>
              </w:rPr>
              <w:t>1</w:t>
            </w:r>
            <w:r>
              <w:rPr>
                <w:rFonts w:hint="eastAsia" w:ascii="宋体" w:eastAsia="宋体" w:cs="宋体"/>
                <w:b/>
                <w:bCs/>
                <w:sz w:val="21"/>
                <w:szCs w:val="21"/>
                <w:highlight w:val="yellow"/>
              </w:rPr>
              <w:t>）</w:t>
            </w:r>
            <w:r>
              <w:rPr>
                <w:rFonts w:hint="eastAsia" w:ascii="宋体" w:eastAsia="宋体" w:cs="宋体"/>
                <w:b/>
                <w:bCs/>
                <w:kern w:val="0"/>
                <w:sz w:val="21"/>
                <w:szCs w:val="21"/>
                <w:highlight w:val="yellow"/>
              </w:rPr>
              <w:t>总长：9.00米-11.00米</w:t>
            </w:r>
            <w:r>
              <w:rPr>
                <w:rFonts w:hint="eastAsia" w:ascii="宋体" w:cs="宋体"/>
                <w:b/>
                <w:bCs/>
                <w:kern w:val="0"/>
                <w:sz w:val="21"/>
                <w:szCs w:val="21"/>
                <w:highlight w:val="yellow"/>
                <w:lang w:val="en-US" w:eastAsia="zh-CN"/>
              </w:rPr>
              <w:t>船体长度不包含突出物</w:t>
            </w:r>
            <w:r>
              <w:rPr>
                <w:rFonts w:hint="eastAsia" w:ascii="宋体" w:eastAsia="宋体" w:cs="宋体"/>
                <w:b/>
                <w:bCs/>
                <w:kern w:val="0"/>
                <w:sz w:val="21"/>
                <w:szCs w:val="21"/>
                <w:highlight w:val="yellow"/>
              </w:rPr>
              <w:t>；船宽：2.70米-3.2米；型深：1.2米-1.5米</w:t>
            </w:r>
            <w:r>
              <w:rPr>
                <w:rFonts w:hint="eastAsia" w:ascii="宋体" w:cs="宋体"/>
                <w:b/>
                <w:bCs/>
                <w:kern w:val="0"/>
                <w:sz w:val="21"/>
                <w:szCs w:val="21"/>
                <w:highlight w:val="yellow"/>
                <w:lang w:val="en-US" w:eastAsia="zh-CN"/>
              </w:rPr>
              <w:t>(以上范围</w:t>
            </w:r>
            <w:r>
              <w:rPr>
                <w:rFonts w:hint="eastAsia"/>
                <w:b/>
                <w:bCs/>
                <w:highlight w:val="yellow"/>
                <w:lang w:val="en-US" w:eastAsia="zh-CN"/>
              </w:rPr>
              <w:t>内</w:t>
            </w:r>
            <w:r>
              <w:rPr>
                <w:rFonts w:hint="eastAsia" w:ascii="宋体" w:cs="宋体"/>
                <w:b/>
                <w:bCs/>
                <w:kern w:val="0"/>
                <w:sz w:val="21"/>
                <w:szCs w:val="21"/>
                <w:highlight w:val="yellow"/>
                <w:lang w:val="en-US" w:eastAsia="zh-CN"/>
              </w:rPr>
              <w:t>任意值均可，但不包含突出物的长度）</w:t>
            </w:r>
            <w:r>
              <w:rPr>
                <w:rFonts w:hint="eastAsia" w:ascii="宋体" w:eastAsia="宋体" w:cs="宋体"/>
                <w:b/>
                <w:bCs/>
                <w:kern w:val="0"/>
                <w:sz w:val="21"/>
                <w:szCs w:val="21"/>
                <w:highlight w:val="yellow"/>
              </w:rPr>
              <w:t>；用于承担海域内海事公务巡逻、海上救援、突发事件应急响应与处置等综合执法任务执行海岸辖区内水上维权执法、海事管理、应急救援等任务。适用于沿海平静水域日间、夜间航行要求。</w:t>
            </w:r>
          </w:p>
          <w:p w14:paraId="79DA67C7">
            <w:pPr>
              <w:spacing w:line="360" w:lineRule="auto"/>
              <w:rPr>
                <w:rFonts w:hint="eastAsia" w:ascii="宋体" w:eastAsia="宋体" w:cs="宋体"/>
                <w:b/>
                <w:bCs/>
                <w:sz w:val="21"/>
                <w:szCs w:val="21"/>
                <w:highlight w:val="yellow"/>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2</w:t>
            </w:r>
            <w:r>
              <w:rPr>
                <w:rFonts w:hint="eastAsia" w:ascii="宋体" w:eastAsia="宋体" w:cs="宋体"/>
                <w:b/>
                <w:bCs/>
                <w:kern w:val="0"/>
                <w:sz w:val="21"/>
                <w:szCs w:val="21"/>
                <w:highlight w:val="yellow"/>
              </w:rPr>
              <w:t>）满载吃水：0.50米～0.70米</w:t>
            </w:r>
            <w:r>
              <w:rPr>
                <w:rFonts w:hint="eastAsia"/>
                <w:b/>
                <w:bCs/>
                <w:highlight w:val="yellow"/>
              </w:rPr>
              <w:t>（以上范围内任意值均可）</w:t>
            </w:r>
            <w:r>
              <w:rPr>
                <w:rFonts w:hint="eastAsia" w:ascii="宋体" w:eastAsia="宋体" w:cs="宋体"/>
                <w:b/>
                <w:bCs/>
                <w:kern w:val="0"/>
                <w:sz w:val="21"/>
                <w:szCs w:val="21"/>
                <w:highlight w:val="yellow"/>
              </w:rPr>
              <w:t>。</w:t>
            </w:r>
          </w:p>
          <w:p w14:paraId="35274B53">
            <w:pPr>
              <w:spacing w:line="360" w:lineRule="auto"/>
              <w:rPr>
                <w:rFonts w:hint="eastAsia" w:ascii="宋体" w:eastAsia="宋体" w:cs="宋体"/>
                <w:b/>
                <w:bCs/>
                <w:sz w:val="21"/>
                <w:szCs w:val="21"/>
                <w:highlight w:val="yellow"/>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3</w:t>
            </w:r>
            <w:r>
              <w:rPr>
                <w:rFonts w:hint="eastAsia" w:ascii="宋体" w:eastAsia="宋体" w:cs="宋体"/>
                <w:b/>
                <w:bCs/>
                <w:kern w:val="0"/>
                <w:sz w:val="21"/>
                <w:szCs w:val="21"/>
                <w:highlight w:val="yellow"/>
              </w:rPr>
              <w:t>）排水量：5-8吨</w:t>
            </w:r>
            <w:r>
              <w:rPr>
                <w:rFonts w:hint="eastAsia"/>
                <w:b/>
                <w:bCs/>
                <w:highlight w:val="yellow"/>
              </w:rPr>
              <w:t>（以上范围内任意值均可）</w:t>
            </w:r>
            <w:r>
              <w:rPr>
                <w:rFonts w:hint="eastAsia" w:ascii="宋体" w:eastAsia="宋体" w:cs="宋体"/>
                <w:b/>
                <w:bCs/>
                <w:kern w:val="0"/>
                <w:sz w:val="21"/>
                <w:szCs w:val="21"/>
                <w:highlight w:val="yellow"/>
              </w:rPr>
              <w:t>。</w:t>
            </w:r>
          </w:p>
          <w:p w14:paraId="14C29A40">
            <w:pPr>
              <w:spacing w:line="360" w:lineRule="auto"/>
              <w:rPr>
                <w:rFonts w:hint="eastAsia" w:ascii="宋体" w:eastAsia="宋体" w:cs="宋体"/>
                <w:b/>
                <w:bCs/>
                <w:sz w:val="21"/>
                <w:szCs w:val="21"/>
                <w:highlight w:val="yellow"/>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4</w:t>
            </w:r>
            <w:r>
              <w:rPr>
                <w:rFonts w:hint="eastAsia" w:ascii="宋体" w:eastAsia="宋体" w:cs="宋体"/>
                <w:b/>
                <w:bCs/>
                <w:kern w:val="0"/>
                <w:sz w:val="21"/>
                <w:szCs w:val="21"/>
                <w:highlight w:val="yellow"/>
              </w:rPr>
              <w:t>）定员：7人（船员2人，乘员5人）。</w:t>
            </w:r>
          </w:p>
          <w:p w14:paraId="3ED6328F">
            <w:pPr>
              <w:spacing w:line="360" w:lineRule="auto"/>
              <w:rPr>
                <w:rFonts w:hint="eastAsia" w:ascii="宋体" w:eastAsia="宋体" w:cs="宋体"/>
                <w:b/>
                <w:bCs/>
                <w:sz w:val="21"/>
                <w:szCs w:val="21"/>
                <w:highlight w:val="yellow"/>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5</w:t>
            </w:r>
            <w:r>
              <w:rPr>
                <w:rFonts w:hint="eastAsia" w:ascii="宋体" w:eastAsia="宋体" w:cs="宋体"/>
                <w:b/>
                <w:bCs/>
                <w:kern w:val="0"/>
                <w:sz w:val="21"/>
                <w:szCs w:val="21"/>
                <w:highlight w:val="yellow"/>
              </w:rPr>
              <w:t>）燃油：</w:t>
            </w:r>
            <w:r>
              <w:rPr>
                <w:rFonts w:hint="eastAsia" w:ascii="宋体" w:cs="宋体"/>
                <w:b/>
                <w:bCs/>
                <w:kern w:val="0"/>
                <w:sz w:val="21"/>
                <w:szCs w:val="21"/>
                <w:highlight w:val="yellow"/>
                <w:lang w:val="en-US" w:eastAsia="zh-CN"/>
              </w:rPr>
              <w:t>不小于1200升</w:t>
            </w:r>
            <w:r>
              <w:rPr>
                <w:rFonts w:hint="eastAsia" w:ascii="宋体" w:eastAsia="宋体" w:cs="宋体"/>
                <w:b/>
                <w:bCs/>
                <w:kern w:val="0"/>
                <w:sz w:val="21"/>
                <w:szCs w:val="21"/>
                <w:highlight w:val="yellow"/>
              </w:rPr>
              <w:t>。</w:t>
            </w:r>
          </w:p>
          <w:p w14:paraId="61925B40">
            <w:pPr>
              <w:spacing w:line="360" w:lineRule="auto"/>
              <w:rPr>
                <w:rFonts w:hint="eastAsia" w:ascii="宋体" w:eastAsia="宋体" w:cs="宋体"/>
                <w:b/>
                <w:bCs/>
                <w:sz w:val="21"/>
                <w:szCs w:val="21"/>
                <w:highlight w:val="yellow"/>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6</w:t>
            </w:r>
            <w:r>
              <w:rPr>
                <w:rFonts w:hint="eastAsia" w:ascii="宋体" w:eastAsia="宋体" w:cs="宋体"/>
                <w:b/>
                <w:bCs/>
                <w:kern w:val="0"/>
                <w:sz w:val="21"/>
                <w:szCs w:val="21"/>
                <w:highlight w:val="yellow"/>
              </w:rPr>
              <w:t>）在正常排水量状态，静水中，风力不大于蒲氏3级，船艇主机以最大转速运行时，最高航速不低于</w:t>
            </w:r>
            <w:r>
              <w:rPr>
                <w:rFonts w:hint="eastAsia" w:ascii="宋体" w:cs="宋体"/>
                <w:b/>
                <w:bCs/>
                <w:kern w:val="0"/>
                <w:sz w:val="21"/>
                <w:szCs w:val="21"/>
                <w:highlight w:val="yellow"/>
                <w:lang w:val="en-US" w:eastAsia="zh-CN"/>
              </w:rPr>
              <w:t>22</w:t>
            </w:r>
            <w:r>
              <w:rPr>
                <w:rFonts w:hint="eastAsia" w:ascii="宋体" w:eastAsia="宋体" w:cs="宋体"/>
                <w:b/>
                <w:bCs/>
                <w:kern w:val="0"/>
                <w:sz w:val="21"/>
                <w:szCs w:val="21"/>
                <w:highlight w:val="yellow"/>
              </w:rPr>
              <w:t>节（</w:t>
            </w:r>
            <w:r>
              <w:rPr>
                <w:rFonts w:hint="eastAsia" w:ascii="宋体" w:cs="宋体"/>
                <w:b/>
                <w:bCs/>
                <w:kern w:val="0"/>
                <w:sz w:val="21"/>
                <w:szCs w:val="21"/>
                <w:highlight w:val="yellow"/>
                <w:lang w:val="en-US" w:eastAsia="zh-CN"/>
              </w:rPr>
              <w:t>42</w:t>
            </w:r>
            <w:r>
              <w:rPr>
                <w:rFonts w:hint="eastAsia" w:ascii="宋体" w:eastAsia="宋体" w:cs="宋体"/>
                <w:b/>
                <w:bCs/>
                <w:kern w:val="0"/>
                <w:sz w:val="21"/>
                <w:szCs w:val="21"/>
                <w:highlight w:val="yellow"/>
              </w:rPr>
              <w:t>km/h）。</w:t>
            </w:r>
          </w:p>
          <w:p w14:paraId="2F654204">
            <w:pPr>
              <w:spacing w:line="360" w:lineRule="auto"/>
              <w:rPr>
                <w:rFonts w:ascii="宋体" w:eastAsia="宋体" w:cs="宋体"/>
                <w:b/>
                <w:bCs/>
                <w:sz w:val="21"/>
                <w:szCs w:val="21"/>
                <w:highlight w:val="yellow"/>
                <w:lang w:val="en-US" w:eastAsia="zh-CN"/>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7</w:t>
            </w:r>
            <w:r>
              <w:rPr>
                <w:rFonts w:hint="eastAsia" w:ascii="宋体" w:eastAsia="宋体" w:cs="宋体"/>
                <w:b/>
                <w:bCs/>
                <w:kern w:val="0"/>
                <w:sz w:val="21"/>
                <w:szCs w:val="21"/>
                <w:highlight w:val="yellow"/>
              </w:rPr>
              <w:t>）巡航速度：</w:t>
            </w:r>
            <w:r>
              <w:rPr>
                <w:rFonts w:hint="eastAsia" w:ascii="宋体" w:cs="宋体"/>
                <w:b/>
                <w:bCs/>
                <w:sz w:val="21"/>
                <w:szCs w:val="21"/>
                <w:highlight w:val="yellow"/>
                <w:lang w:val="en-US" w:eastAsia="zh-CN"/>
              </w:rPr>
              <w:t>小于20节</w:t>
            </w:r>
          </w:p>
          <w:p w14:paraId="35C6E679">
            <w:pPr>
              <w:spacing w:line="360" w:lineRule="auto"/>
              <w:rPr>
                <w:rFonts w:hint="eastAsia" w:ascii="宋体" w:eastAsia="宋体" w:cs="宋体"/>
                <w:kern w:val="0"/>
                <w:sz w:val="21"/>
                <w:szCs w:val="21"/>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8</w:t>
            </w:r>
            <w:r>
              <w:rPr>
                <w:rFonts w:hint="eastAsia" w:ascii="宋体" w:eastAsia="宋体" w:cs="宋体"/>
                <w:b/>
                <w:bCs/>
                <w:kern w:val="0"/>
                <w:sz w:val="21"/>
                <w:szCs w:val="21"/>
                <w:highlight w:val="yellow"/>
              </w:rPr>
              <w:t>）在满载排水量（满油）状态下，以巡航速度航行时，续航力不小于150海里（250公里）。</w:t>
            </w:r>
          </w:p>
        </w:tc>
      </w:tr>
      <w:tr w14:paraId="6313A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07" w:type="dxa"/>
            <w:vMerge w:val="continue"/>
          </w:tcPr>
          <w:p w14:paraId="002B1B7B"/>
        </w:tc>
        <w:tc>
          <w:tcPr>
            <w:tcW w:w="1292" w:type="dxa"/>
            <w:vMerge w:val="continue"/>
          </w:tcPr>
          <w:p w14:paraId="3FFD7C7C"/>
        </w:tc>
        <w:tc>
          <w:tcPr>
            <w:tcW w:w="6875" w:type="dxa"/>
          </w:tcPr>
          <w:p w14:paraId="1806BF2F">
            <w:pPr>
              <w:spacing w:line="360" w:lineRule="auto"/>
              <w:rPr>
                <w:rFonts w:hint="eastAsia" w:ascii="宋体" w:eastAsia="宋体" w:cs="宋体"/>
                <w:kern w:val="0"/>
                <w:sz w:val="21"/>
                <w:szCs w:val="21"/>
              </w:rPr>
            </w:pPr>
            <w:r>
              <w:rPr>
                <w:rFonts w:hint="eastAsia" w:ascii="宋体" w:eastAsia="宋体" w:cs="宋体"/>
                <w:kern w:val="0"/>
                <w:sz w:val="21"/>
                <w:szCs w:val="21"/>
                <w:highlight w:val="none"/>
              </w:rPr>
              <w:t>1.2航区：适航</w:t>
            </w:r>
            <w:r>
              <w:rPr>
                <w:rFonts w:hint="eastAsia" w:ascii="宋体" w:cs="宋体"/>
                <w:kern w:val="0"/>
                <w:sz w:val="21"/>
                <w:szCs w:val="21"/>
                <w:highlight w:val="none"/>
                <w:lang w:val="en-US" w:eastAsia="zh-CN"/>
              </w:rPr>
              <w:t>我国</w:t>
            </w:r>
            <w:r>
              <w:rPr>
                <w:rFonts w:hint="eastAsia" w:ascii="宋体" w:eastAsia="宋体" w:cs="宋体"/>
                <w:kern w:val="0"/>
                <w:sz w:val="21"/>
                <w:szCs w:val="21"/>
                <w:highlight w:val="none"/>
              </w:rPr>
              <w:t>沿海航区平静水域。</w:t>
            </w:r>
          </w:p>
        </w:tc>
      </w:tr>
      <w:tr w14:paraId="5DE40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8" w:hRule="atLeast"/>
        </w:trPr>
        <w:tc>
          <w:tcPr>
            <w:tcW w:w="707" w:type="dxa"/>
            <w:vMerge w:val="continue"/>
          </w:tcPr>
          <w:p w14:paraId="4AD973AD"/>
        </w:tc>
        <w:tc>
          <w:tcPr>
            <w:tcW w:w="1292" w:type="dxa"/>
            <w:vMerge w:val="continue"/>
          </w:tcPr>
          <w:p w14:paraId="6523237E"/>
        </w:tc>
        <w:tc>
          <w:tcPr>
            <w:tcW w:w="6875" w:type="dxa"/>
          </w:tcPr>
          <w:p w14:paraId="1D87D05F">
            <w:pPr>
              <w:spacing w:line="360" w:lineRule="auto"/>
              <w:rPr>
                <w:rFonts w:hint="eastAsia" w:ascii="宋体" w:eastAsia="宋体" w:cs="宋体"/>
                <w:b w:val="0"/>
                <w:bCs w:val="0"/>
                <w:kern w:val="0"/>
                <w:sz w:val="21"/>
                <w:szCs w:val="21"/>
                <w:highlight w:val="none"/>
              </w:rPr>
            </w:pPr>
            <w:r>
              <w:rPr>
                <w:rFonts w:hint="eastAsia" w:ascii="宋体" w:eastAsia="宋体" w:cs="宋体"/>
                <w:b w:val="0"/>
                <w:bCs w:val="0"/>
                <w:kern w:val="0"/>
                <w:sz w:val="21"/>
                <w:szCs w:val="21"/>
                <w:highlight w:val="none"/>
              </w:rPr>
              <w:t>1.3续航力、航速：</w:t>
            </w:r>
          </w:p>
          <w:p w14:paraId="4D545FD0">
            <w:pPr>
              <w:spacing w:line="360" w:lineRule="auto"/>
              <w:rPr>
                <w:rFonts w:hint="eastAsia" w:ascii="宋体" w:eastAsia="宋体" w:cs="宋体"/>
                <w:b w:val="0"/>
                <w:bCs w:val="0"/>
                <w:kern w:val="0"/>
                <w:sz w:val="21"/>
                <w:szCs w:val="21"/>
                <w:highlight w:val="none"/>
              </w:rPr>
            </w:pPr>
            <w:r>
              <w:rPr>
                <w:rFonts w:hint="eastAsia" w:ascii="宋体" w:eastAsia="宋体" w:cs="宋体"/>
                <w:b w:val="0"/>
                <w:bCs w:val="0"/>
                <w:kern w:val="0"/>
                <w:sz w:val="21"/>
                <w:szCs w:val="21"/>
                <w:highlight w:val="none"/>
              </w:rPr>
              <w:t>续航力：</w:t>
            </w:r>
            <w:r>
              <w:rPr>
                <w:rFonts w:hint="eastAsia" w:ascii="宋体" w:cs="宋体"/>
                <w:b w:val="0"/>
                <w:bCs w:val="0"/>
                <w:kern w:val="0"/>
                <w:sz w:val="21"/>
                <w:szCs w:val="21"/>
                <w:highlight w:val="none"/>
                <w:lang w:val="en-US" w:eastAsia="zh-CN"/>
              </w:rPr>
              <w:t>公务艇</w:t>
            </w:r>
            <w:r>
              <w:rPr>
                <w:rFonts w:hint="eastAsia" w:ascii="宋体" w:eastAsia="宋体" w:cs="宋体"/>
                <w:b w:val="0"/>
                <w:bCs w:val="0"/>
                <w:kern w:val="0"/>
                <w:sz w:val="21"/>
                <w:szCs w:val="21"/>
                <w:highlight w:val="none"/>
              </w:rPr>
              <w:t>以巡航（经济）航速航行时，其续航力不小于150海里（250公里）</w:t>
            </w:r>
          </w:p>
          <w:p w14:paraId="2088D755">
            <w:pPr>
              <w:spacing w:line="360" w:lineRule="auto"/>
              <w:rPr>
                <w:rFonts w:hint="eastAsia" w:ascii="宋体" w:eastAsia="宋体" w:cs="宋体"/>
                <w:kern w:val="0"/>
                <w:sz w:val="21"/>
                <w:szCs w:val="21"/>
              </w:rPr>
            </w:pPr>
            <w:r>
              <w:rPr>
                <w:rFonts w:hint="eastAsia" w:ascii="宋体" w:eastAsia="宋体" w:cs="宋体"/>
                <w:b w:val="0"/>
                <w:bCs w:val="0"/>
                <w:kern w:val="0"/>
                <w:sz w:val="21"/>
                <w:szCs w:val="21"/>
                <w:highlight w:val="none"/>
              </w:rPr>
              <w:t>航  速：</w:t>
            </w:r>
            <w:r>
              <w:rPr>
                <w:rFonts w:hint="eastAsia" w:ascii="宋体" w:cs="宋体"/>
                <w:b w:val="0"/>
                <w:bCs w:val="0"/>
                <w:kern w:val="0"/>
                <w:sz w:val="21"/>
                <w:szCs w:val="21"/>
                <w:highlight w:val="none"/>
                <w:lang w:val="en-US" w:eastAsia="zh-CN"/>
              </w:rPr>
              <w:t>公务艇</w:t>
            </w:r>
            <w:r>
              <w:rPr>
                <w:rFonts w:hint="eastAsia" w:ascii="宋体" w:eastAsia="宋体" w:cs="宋体"/>
                <w:b w:val="0"/>
                <w:bCs w:val="0"/>
                <w:kern w:val="0"/>
                <w:sz w:val="21"/>
                <w:szCs w:val="21"/>
                <w:highlight w:val="none"/>
              </w:rPr>
              <w:t>在满载排水量时，主机额定功率、平静海况、水深大于3米，最大试航速度不低</w:t>
            </w:r>
            <w:r>
              <w:rPr>
                <w:rFonts w:hint="eastAsia" w:ascii="宋体" w:cs="宋体"/>
                <w:b w:val="0"/>
                <w:bCs w:val="0"/>
                <w:kern w:val="0"/>
                <w:sz w:val="21"/>
                <w:szCs w:val="21"/>
                <w:highlight w:val="none"/>
                <w:lang w:val="en-US" w:eastAsia="zh-CN"/>
              </w:rPr>
              <w:t>2</w:t>
            </w:r>
            <w:r>
              <w:rPr>
                <w:rFonts w:hint="eastAsia" w:ascii="宋体" w:eastAsia="宋体" w:cs="宋体"/>
                <w:b w:val="0"/>
                <w:bCs w:val="0"/>
                <w:kern w:val="0"/>
                <w:sz w:val="21"/>
                <w:szCs w:val="21"/>
                <w:highlight w:val="none"/>
              </w:rPr>
              <w:t>2节（</w:t>
            </w:r>
            <w:r>
              <w:rPr>
                <w:rFonts w:hint="eastAsia" w:ascii="宋体" w:cs="宋体"/>
                <w:b w:val="0"/>
                <w:bCs w:val="0"/>
                <w:kern w:val="0"/>
                <w:sz w:val="21"/>
                <w:szCs w:val="21"/>
                <w:highlight w:val="none"/>
                <w:lang w:val="en-US" w:eastAsia="zh-CN"/>
              </w:rPr>
              <w:t>42</w:t>
            </w:r>
            <w:r>
              <w:rPr>
                <w:rFonts w:hint="eastAsia" w:ascii="宋体" w:eastAsia="宋体" w:cs="宋体"/>
                <w:b w:val="0"/>
                <w:bCs w:val="0"/>
                <w:kern w:val="0"/>
                <w:sz w:val="21"/>
                <w:szCs w:val="21"/>
                <w:highlight w:val="none"/>
              </w:rPr>
              <w:t>km/h）。</w:t>
            </w:r>
          </w:p>
        </w:tc>
      </w:tr>
      <w:tr w14:paraId="1ACA8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07" w:type="dxa"/>
            <w:vMerge w:val="continue"/>
          </w:tcPr>
          <w:p w14:paraId="0975F92D"/>
        </w:tc>
        <w:tc>
          <w:tcPr>
            <w:tcW w:w="1292" w:type="dxa"/>
            <w:vMerge w:val="continue"/>
          </w:tcPr>
          <w:p w14:paraId="3DA6CA7D"/>
        </w:tc>
        <w:tc>
          <w:tcPr>
            <w:tcW w:w="6875" w:type="dxa"/>
          </w:tcPr>
          <w:p w14:paraId="7980CB30">
            <w:pPr>
              <w:spacing w:line="360" w:lineRule="auto"/>
              <w:rPr>
                <w:rFonts w:hint="eastAsia" w:ascii="宋体" w:eastAsia="宋体" w:cs="宋体"/>
                <w:kern w:val="0"/>
                <w:sz w:val="21"/>
                <w:szCs w:val="21"/>
              </w:rPr>
            </w:pPr>
            <w:r>
              <w:rPr>
                <w:rFonts w:hint="eastAsia" w:ascii="宋体" w:eastAsia="宋体" w:cs="宋体"/>
                <w:kern w:val="0"/>
                <w:sz w:val="21"/>
                <w:szCs w:val="21"/>
              </w:rPr>
              <w:t>1.4完整稳性和抗风能力：</w:t>
            </w:r>
            <w:r>
              <w:rPr>
                <w:rFonts w:hint="eastAsia" w:ascii="宋体" w:cs="宋体"/>
                <w:kern w:val="0"/>
                <w:sz w:val="21"/>
                <w:szCs w:val="21"/>
                <w:highlight w:val="none"/>
                <w:lang w:val="en-US" w:eastAsia="zh-CN"/>
              </w:rPr>
              <w:t>公务艇</w:t>
            </w:r>
            <w:r>
              <w:rPr>
                <w:rFonts w:hint="eastAsia" w:ascii="宋体" w:eastAsia="宋体" w:cs="宋体"/>
                <w:kern w:val="0"/>
                <w:sz w:val="21"/>
                <w:szCs w:val="21"/>
              </w:rPr>
              <w:t>需求的完整稳性满足中华人民共和国海事局《国内航行小型海船技术规则》（2024）对沿海航区平静水域之要求。</w:t>
            </w:r>
          </w:p>
        </w:tc>
      </w:tr>
      <w:tr w14:paraId="66D48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07" w:type="dxa"/>
            <w:vMerge w:val="continue"/>
          </w:tcPr>
          <w:p w14:paraId="796BE99F"/>
        </w:tc>
        <w:tc>
          <w:tcPr>
            <w:tcW w:w="1292" w:type="dxa"/>
            <w:vMerge w:val="continue"/>
          </w:tcPr>
          <w:p w14:paraId="50F14A24"/>
        </w:tc>
        <w:tc>
          <w:tcPr>
            <w:tcW w:w="6875" w:type="dxa"/>
          </w:tcPr>
          <w:p w14:paraId="65D8725D">
            <w:pPr>
              <w:spacing w:line="360" w:lineRule="auto"/>
              <w:rPr>
                <w:rFonts w:hint="eastAsia" w:ascii="宋体" w:eastAsia="宋体" w:cs="宋体"/>
                <w:kern w:val="0"/>
                <w:sz w:val="21"/>
                <w:szCs w:val="21"/>
              </w:rPr>
            </w:pPr>
            <w:r>
              <w:rPr>
                <w:rFonts w:hint="eastAsia" w:ascii="宋体" w:eastAsia="宋体" w:cs="宋体"/>
                <w:kern w:val="0"/>
                <w:sz w:val="21"/>
                <w:szCs w:val="21"/>
              </w:rPr>
              <w:t>1.5不沉性：</w:t>
            </w:r>
            <w:r>
              <w:rPr>
                <w:rFonts w:hint="eastAsia" w:ascii="宋体" w:cs="宋体"/>
                <w:kern w:val="0"/>
                <w:sz w:val="21"/>
                <w:szCs w:val="21"/>
                <w:highlight w:val="none"/>
                <w:lang w:val="en-US" w:eastAsia="zh-CN"/>
              </w:rPr>
              <w:t>公务艇</w:t>
            </w:r>
            <w:r>
              <w:rPr>
                <w:rFonts w:hint="eastAsia" w:ascii="宋体" w:eastAsia="宋体" w:cs="宋体"/>
                <w:kern w:val="0"/>
                <w:sz w:val="21"/>
                <w:szCs w:val="21"/>
              </w:rPr>
              <w:t>需求的不沉性应满足中华人民共和国海事局《国内航行小型海船技术规则》（2024）对不沉性的要求。</w:t>
            </w:r>
          </w:p>
        </w:tc>
      </w:tr>
      <w:tr w14:paraId="66D00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707" w:type="dxa"/>
            <w:vMerge w:val="continue"/>
          </w:tcPr>
          <w:p w14:paraId="6CF03477"/>
        </w:tc>
        <w:tc>
          <w:tcPr>
            <w:tcW w:w="1292" w:type="dxa"/>
            <w:vMerge w:val="continue"/>
          </w:tcPr>
          <w:p w14:paraId="22570BFA"/>
        </w:tc>
        <w:tc>
          <w:tcPr>
            <w:tcW w:w="6875" w:type="dxa"/>
          </w:tcPr>
          <w:p w14:paraId="5FF5BD4B">
            <w:pPr>
              <w:spacing w:line="360" w:lineRule="auto"/>
              <w:rPr>
                <w:rFonts w:hint="eastAsia" w:ascii="宋体" w:eastAsia="宋体" w:cs="宋体"/>
                <w:kern w:val="0"/>
                <w:sz w:val="21"/>
                <w:szCs w:val="21"/>
              </w:rPr>
            </w:pPr>
            <w:r>
              <w:rPr>
                <w:rFonts w:hint="eastAsia" w:ascii="宋体" w:eastAsia="宋体" w:cs="宋体"/>
                <w:kern w:val="0"/>
                <w:sz w:val="21"/>
                <w:szCs w:val="21"/>
              </w:rPr>
              <w:t>2.总布置：</w:t>
            </w:r>
            <w:r>
              <w:rPr>
                <w:rFonts w:hint="eastAsia" w:ascii="宋体" w:cs="宋体"/>
                <w:kern w:val="0"/>
                <w:sz w:val="21"/>
                <w:szCs w:val="21"/>
                <w:highlight w:val="none"/>
                <w:lang w:val="en-US" w:eastAsia="zh-CN"/>
              </w:rPr>
              <w:t>公务艇</w:t>
            </w:r>
            <w:r>
              <w:rPr>
                <w:rFonts w:hint="eastAsia" w:ascii="宋体" w:eastAsia="宋体" w:cs="宋体"/>
                <w:kern w:val="0"/>
                <w:sz w:val="21"/>
                <w:szCs w:val="21"/>
              </w:rPr>
              <w:t>系自艏至艉连续甲板的敞开艇。</w:t>
            </w:r>
          </w:p>
        </w:tc>
      </w:tr>
      <w:tr w14:paraId="1B82B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707" w:type="dxa"/>
            <w:vMerge w:val="continue"/>
          </w:tcPr>
          <w:p w14:paraId="338272F7"/>
        </w:tc>
        <w:tc>
          <w:tcPr>
            <w:tcW w:w="1292" w:type="dxa"/>
            <w:vMerge w:val="continue"/>
          </w:tcPr>
          <w:p w14:paraId="3F513FFB"/>
        </w:tc>
        <w:tc>
          <w:tcPr>
            <w:tcW w:w="6875" w:type="dxa"/>
          </w:tcPr>
          <w:p w14:paraId="7BF7B4EB">
            <w:pPr>
              <w:spacing w:line="360" w:lineRule="auto"/>
              <w:rPr>
                <w:rFonts w:hint="eastAsia" w:ascii="宋体" w:eastAsia="宋体" w:cs="宋体"/>
                <w:kern w:val="0"/>
                <w:sz w:val="21"/>
                <w:szCs w:val="21"/>
              </w:rPr>
            </w:pPr>
            <w:r>
              <w:rPr>
                <w:rFonts w:ascii="宋体" w:eastAsia="宋体"/>
                <w:b/>
                <w:bCs/>
                <w:color w:val="auto"/>
                <w:szCs w:val="21"/>
              </w:rPr>
              <w:t>▲</w:t>
            </w:r>
            <w:r>
              <w:rPr>
                <w:rFonts w:hint="eastAsia" w:ascii="宋体" w:eastAsia="宋体" w:cs="宋体"/>
                <w:b/>
                <w:bCs/>
                <w:kern w:val="0"/>
                <w:sz w:val="21"/>
                <w:szCs w:val="21"/>
              </w:rPr>
              <w:t>2.1主艇体：（1）艇体和甲板间由3道水密舱壁和1道普通舱壁划分为5个舱室，由艉至艏依此为：尾舱、燃油舱、乘员驾驶舱（半蓬带挡风玻璃）和艏尖舱。</w:t>
            </w:r>
          </w:p>
        </w:tc>
      </w:tr>
      <w:tr w14:paraId="7D6E6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8" w:hRule="atLeast"/>
        </w:trPr>
        <w:tc>
          <w:tcPr>
            <w:tcW w:w="707" w:type="dxa"/>
            <w:vMerge w:val="continue"/>
          </w:tcPr>
          <w:p w14:paraId="610972FC"/>
        </w:tc>
        <w:tc>
          <w:tcPr>
            <w:tcW w:w="1292" w:type="dxa"/>
            <w:vMerge w:val="continue"/>
          </w:tcPr>
          <w:p w14:paraId="332E4BA4"/>
        </w:tc>
        <w:tc>
          <w:tcPr>
            <w:tcW w:w="6875" w:type="dxa"/>
          </w:tcPr>
          <w:p w14:paraId="6530B979">
            <w:pPr>
              <w:spacing w:line="360" w:lineRule="auto"/>
              <w:rPr>
                <w:rFonts w:hint="eastAsia" w:ascii="宋体" w:eastAsia="宋体" w:cs="宋体"/>
                <w:kern w:val="0"/>
                <w:sz w:val="21"/>
                <w:szCs w:val="21"/>
              </w:rPr>
            </w:pPr>
            <w:r>
              <w:rPr>
                <w:rFonts w:hint="eastAsia" w:ascii="宋体" w:eastAsia="宋体" w:cs="宋体"/>
                <w:kern w:val="0"/>
                <w:sz w:val="21"/>
                <w:szCs w:val="21"/>
              </w:rPr>
              <w:t>2.2甲板室</w:t>
            </w:r>
          </w:p>
          <w:p w14:paraId="2DDD8ECE">
            <w:pPr>
              <w:spacing w:line="360" w:lineRule="auto"/>
              <w:rPr>
                <w:rFonts w:hint="eastAsia" w:ascii="宋体" w:eastAsia="宋体" w:cs="宋体"/>
                <w:kern w:val="0"/>
                <w:sz w:val="21"/>
                <w:szCs w:val="21"/>
              </w:rPr>
            </w:pPr>
            <w:r>
              <w:rPr>
                <w:rFonts w:hint="eastAsia" w:ascii="宋体" w:eastAsia="宋体" w:cs="宋体"/>
                <w:kern w:val="0"/>
                <w:sz w:val="21"/>
                <w:szCs w:val="21"/>
              </w:rPr>
              <w:t>（1）乘员室及驾驶室内净空高不低于 1.75 米，本艇甲板室为半蓬乘员驾驶舱，正副驾驶位置采用可调节座椅，驾驶舱后排两侧采用减震骑马座椅。舱室内中间设有通道。</w:t>
            </w:r>
          </w:p>
        </w:tc>
      </w:tr>
      <w:tr w14:paraId="3BC47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5" w:hRule="atLeast"/>
        </w:trPr>
        <w:tc>
          <w:tcPr>
            <w:tcW w:w="707" w:type="dxa"/>
            <w:vMerge w:val="continue"/>
          </w:tcPr>
          <w:p w14:paraId="23913FF5"/>
        </w:tc>
        <w:tc>
          <w:tcPr>
            <w:tcW w:w="1292" w:type="dxa"/>
            <w:vMerge w:val="continue"/>
          </w:tcPr>
          <w:p w14:paraId="417DDE96"/>
        </w:tc>
        <w:tc>
          <w:tcPr>
            <w:tcW w:w="6875" w:type="dxa"/>
          </w:tcPr>
          <w:p w14:paraId="036F75E9">
            <w:pPr>
              <w:spacing w:line="360" w:lineRule="auto"/>
              <w:rPr>
                <w:rFonts w:hint="eastAsia" w:ascii="宋体" w:eastAsia="宋体" w:cs="宋体"/>
                <w:kern w:val="0"/>
                <w:sz w:val="21"/>
                <w:szCs w:val="21"/>
              </w:rPr>
            </w:pPr>
            <w:r>
              <w:rPr>
                <w:rFonts w:hint="eastAsia" w:ascii="宋体" w:eastAsia="宋体" w:cs="宋体"/>
                <w:kern w:val="0"/>
                <w:sz w:val="21"/>
                <w:szCs w:val="21"/>
              </w:rPr>
              <w:t>2.3主甲板面</w:t>
            </w:r>
          </w:p>
          <w:p w14:paraId="6A0206CD">
            <w:pPr>
              <w:spacing w:line="360" w:lineRule="auto"/>
              <w:rPr>
                <w:rFonts w:hint="eastAsia" w:ascii="宋体" w:eastAsia="宋体" w:cs="宋体"/>
                <w:kern w:val="0"/>
                <w:sz w:val="21"/>
                <w:szCs w:val="21"/>
              </w:rPr>
            </w:pPr>
            <w:r>
              <w:rPr>
                <w:rFonts w:hint="eastAsia" w:ascii="宋体" w:eastAsia="宋体" w:cs="宋体"/>
                <w:kern w:val="0"/>
                <w:sz w:val="21"/>
                <w:szCs w:val="21"/>
              </w:rPr>
              <w:t>（1）主甲板舱室两侧设有防滑行走甲板。全船甲板面防滑处理。</w:t>
            </w:r>
          </w:p>
          <w:p w14:paraId="0E73E92F">
            <w:pPr>
              <w:spacing w:line="360" w:lineRule="auto"/>
              <w:rPr>
                <w:rFonts w:hint="eastAsia" w:ascii="宋体" w:eastAsia="宋体" w:cs="宋体"/>
                <w:kern w:val="0"/>
                <w:sz w:val="21"/>
                <w:szCs w:val="21"/>
              </w:rPr>
            </w:pPr>
            <w:r>
              <w:rPr>
                <w:rFonts w:hint="eastAsia" w:ascii="宋体" w:eastAsia="宋体" w:cs="宋体"/>
                <w:kern w:val="0"/>
                <w:sz w:val="21"/>
                <w:szCs w:val="21"/>
              </w:rPr>
              <w:t>（2）甲板艉部设机舱口盖，设缆桩、扶栏、旗杆和尾平台等。</w:t>
            </w:r>
          </w:p>
          <w:p w14:paraId="2DE37A02">
            <w:pPr>
              <w:spacing w:line="360" w:lineRule="auto"/>
              <w:rPr>
                <w:rFonts w:hint="eastAsia" w:ascii="宋体" w:eastAsia="宋体" w:cs="宋体"/>
                <w:kern w:val="0"/>
                <w:sz w:val="21"/>
                <w:szCs w:val="21"/>
              </w:rPr>
            </w:pPr>
            <w:r>
              <w:rPr>
                <w:rFonts w:hint="eastAsia" w:ascii="宋体" w:eastAsia="宋体" w:cs="宋体"/>
                <w:kern w:val="0"/>
                <w:sz w:val="21"/>
                <w:szCs w:val="21"/>
              </w:rPr>
              <w:t>（3）甲板舯部为甲板室，两侧设外通道、缆桩、扶栏。</w:t>
            </w:r>
          </w:p>
          <w:p w14:paraId="5410F690">
            <w:pPr>
              <w:spacing w:line="360" w:lineRule="auto"/>
              <w:rPr>
                <w:rFonts w:hint="eastAsia" w:ascii="宋体" w:eastAsia="宋体" w:cs="宋体"/>
                <w:kern w:val="0"/>
                <w:sz w:val="21"/>
                <w:szCs w:val="21"/>
              </w:rPr>
            </w:pPr>
            <w:r>
              <w:rPr>
                <w:rFonts w:hint="eastAsia" w:ascii="宋体" w:eastAsia="宋体" w:cs="宋体"/>
                <w:kern w:val="0"/>
                <w:sz w:val="21"/>
                <w:szCs w:val="21"/>
              </w:rPr>
              <w:t>（4）甲板艏部设艏尖舱盖、缆桩、扶栏、旗杆。</w:t>
            </w:r>
          </w:p>
        </w:tc>
      </w:tr>
      <w:tr w14:paraId="0C837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7" w:type="dxa"/>
            <w:vMerge w:val="continue"/>
          </w:tcPr>
          <w:p w14:paraId="3CA03416"/>
        </w:tc>
        <w:tc>
          <w:tcPr>
            <w:tcW w:w="1292" w:type="dxa"/>
            <w:vMerge w:val="continue"/>
          </w:tcPr>
          <w:p w14:paraId="315DE777"/>
        </w:tc>
        <w:tc>
          <w:tcPr>
            <w:tcW w:w="6875" w:type="dxa"/>
          </w:tcPr>
          <w:p w14:paraId="58071584">
            <w:pPr>
              <w:spacing w:line="360" w:lineRule="auto"/>
              <w:rPr>
                <w:rFonts w:hint="eastAsia" w:ascii="宋体" w:eastAsia="宋体" w:cs="宋体"/>
                <w:kern w:val="0"/>
                <w:sz w:val="21"/>
                <w:szCs w:val="21"/>
              </w:rPr>
            </w:pPr>
            <w:r>
              <w:rPr>
                <w:rFonts w:hint="eastAsia" w:ascii="宋体" w:eastAsia="宋体" w:cs="宋体"/>
                <w:kern w:val="0"/>
                <w:sz w:val="21"/>
                <w:szCs w:val="21"/>
              </w:rPr>
              <w:t>2.4甲板室顶蓬</w:t>
            </w:r>
          </w:p>
          <w:p w14:paraId="1961D685">
            <w:pPr>
              <w:spacing w:line="360" w:lineRule="auto"/>
              <w:rPr>
                <w:rFonts w:hint="eastAsia" w:ascii="宋体" w:eastAsia="宋体" w:cs="宋体"/>
                <w:kern w:val="0"/>
                <w:sz w:val="21"/>
                <w:szCs w:val="21"/>
              </w:rPr>
            </w:pPr>
            <w:r>
              <w:rPr>
                <w:rFonts w:hint="eastAsia" w:ascii="宋体" w:eastAsia="宋体" w:cs="宋体"/>
                <w:kern w:val="0"/>
                <w:sz w:val="21"/>
                <w:szCs w:val="21"/>
              </w:rPr>
              <w:t>顶蓬前端设搜索灯、左右舷灯，顶蓬中后部设铝制桅杆，架上设有雷达天线避雷针等。</w:t>
            </w:r>
          </w:p>
        </w:tc>
      </w:tr>
      <w:tr w14:paraId="46736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7" w:type="dxa"/>
            <w:vMerge w:val="continue"/>
          </w:tcPr>
          <w:p w14:paraId="6783F85A"/>
        </w:tc>
        <w:tc>
          <w:tcPr>
            <w:tcW w:w="1292" w:type="dxa"/>
            <w:vMerge w:val="continue"/>
          </w:tcPr>
          <w:p w14:paraId="3DBBB3B2"/>
        </w:tc>
        <w:tc>
          <w:tcPr>
            <w:tcW w:w="6875" w:type="dxa"/>
          </w:tcPr>
          <w:p w14:paraId="2D36531E">
            <w:pPr>
              <w:spacing w:line="360" w:lineRule="auto"/>
              <w:rPr>
                <w:rFonts w:hint="eastAsia" w:ascii="宋体" w:eastAsia="宋体" w:cs="宋体"/>
                <w:b/>
                <w:bCs/>
                <w:kern w:val="0"/>
                <w:sz w:val="21"/>
                <w:szCs w:val="21"/>
              </w:rPr>
            </w:pPr>
            <w:r>
              <w:rPr>
                <w:rFonts w:ascii="宋体" w:eastAsia="宋体"/>
                <w:b/>
                <w:bCs/>
                <w:color w:val="auto"/>
                <w:szCs w:val="21"/>
              </w:rPr>
              <w:t>▲</w:t>
            </w:r>
            <w:r>
              <w:rPr>
                <w:rFonts w:hint="eastAsia" w:ascii="宋体" w:eastAsia="宋体" w:cs="宋体"/>
                <w:b/>
                <w:bCs/>
                <w:kern w:val="0"/>
                <w:sz w:val="21"/>
                <w:szCs w:val="21"/>
              </w:rPr>
              <w:t>3.船体结构及材料</w:t>
            </w:r>
          </w:p>
          <w:p w14:paraId="48FC830B">
            <w:pPr>
              <w:spacing w:line="360" w:lineRule="auto"/>
              <w:rPr>
                <w:rFonts w:hint="eastAsia" w:ascii="宋体" w:eastAsia="宋体" w:cs="宋体"/>
                <w:b/>
                <w:bCs/>
                <w:kern w:val="0"/>
                <w:sz w:val="21"/>
                <w:szCs w:val="21"/>
              </w:rPr>
            </w:pPr>
            <w:r>
              <w:rPr>
                <w:rFonts w:hint="eastAsia" w:ascii="宋体" w:eastAsia="宋体" w:cs="宋体"/>
                <w:b/>
                <w:bCs/>
                <w:kern w:val="0"/>
                <w:sz w:val="21"/>
                <w:szCs w:val="21"/>
              </w:rPr>
              <w:t>（1）全艇为全焊接铝合金结构；铝合金板材为5083H116型，铝合金型材为6082T6。</w:t>
            </w:r>
          </w:p>
          <w:p w14:paraId="634DD793">
            <w:pPr>
              <w:spacing w:line="360" w:lineRule="auto"/>
              <w:rPr>
                <w:rFonts w:hint="eastAsia" w:ascii="宋体" w:eastAsia="宋体" w:cs="宋体"/>
                <w:kern w:val="0"/>
                <w:sz w:val="21"/>
                <w:szCs w:val="21"/>
              </w:rPr>
            </w:pPr>
            <w:r>
              <w:rPr>
                <w:rFonts w:hint="eastAsia" w:ascii="宋体" w:eastAsia="宋体" w:cs="宋体"/>
                <w:b/>
                <w:bCs/>
                <w:kern w:val="0"/>
                <w:sz w:val="21"/>
                <w:szCs w:val="21"/>
              </w:rPr>
              <w:t>（2）</w:t>
            </w:r>
            <w:r>
              <w:rPr>
                <w:rFonts w:hint="eastAsia" w:ascii="宋体" w:cs="宋体"/>
                <w:b/>
                <w:bCs/>
                <w:kern w:val="0"/>
                <w:sz w:val="21"/>
                <w:szCs w:val="21"/>
                <w:highlight w:val="none"/>
                <w:lang w:val="en-US" w:eastAsia="zh-CN"/>
              </w:rPr>
              <w:t>公务艇</w:t>
            </w:r>
            <w:r>
              <w:rPr>
                <w:rFonts w:hint="eastAsia" w:ascii="宋体" w:eastAsia="宋体" w:cs="宋体"/>
                <w:b/>
                <w:bCs/>
                <w:kern w:val="0"/>
                <w:sz w:val="21"/>
                <w:szCs w:val="21"/>
              </w:rPr>
              <w:t>主艇体为纵骨架式结构。</w:t>
            </w:r>
          </w:p>
        </w:tc>
      </w:tr>
      <w:tr w14:paraId="30949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5" w:hRule="atLeast"/>
        </w:trPr>
        <w:tc>
          <w:tcPr>
            <w:tcW w:w="707" w:type="dxa"/>
            <w:vMerge w:val="continue"/>
          </w:tcPr>
          <w:p w14:paraId="3976F2E2"/>
        </w:tc>
        <w:tc>
          <w:tcPr>
            <w:tcW w:w="1292" w:type="dxa"/>
            <w:vMerge w:val="continue"/>
          </w:tcPr>
          <w:p w14:paraId="5743D827"/>
        </w:tc>
        <w:tc>
          <w:tcPr>
            <w:tcW w:w="6875" w:type="dxa"/>
          </w:tcPr>
          <w:p w14:paraId="6EE8B0E0">
            <w:pPr>
              <w:spacing w:line="360" w:lineRule="auto"/>
              <w:rPr>
                <w:rFonts w:hint="eastAsia" w:ascii="宋体" w:eastAsia="宋体" w:cs="宋体"/>
                <w:b/>
                <w:bCs/>
                <w:kern w:val="0"/>
                <w:sz w:val="21"/>
                <w:szCs w:val="21"/>
              </w:rPr>
            </w:pPr>
            <w:r>
              <w:rPr>
                <w:rFonts w:ascii="宋体" w:eastAsia="宋体"/>
                <w:b/>
                <w:bCs/>
                <w:color w:val="auto"/>
                <w:szCs w:val="21"/>
              </w:rPr>
              <w:t>▲</w:t>
            </w:r>
            <w:r>
              <w:rPr>
                <w:rFonts w:hint="eastAsia" w:ascii="宋体" w:eastAsia="宋体" w:cs="宋体"/>
                <w:b/>
                <w:bCs/>
                <w:kern w:val="0"/>
                <w:sz w:val="21"/>
                <w:szCs w:val="21"/>
              </w:rPr>
              <w:t>4.船舶舾装</w:t>
            </w:r>
          </w:p>
          <w:p w14:paraId="1A2F645F">
            <w:pPr>
              <w:spacing w:line="360" w:lineRule="auto"/>
              <w:rPr>
                <w:rFonts w:hint="eastAsia" w:ascii="宋体" w:eastAsia="宋体" w:cs="宋体"/>
                <w:b/>
                <w:bCs/>
                <w:kern w:val="0"/>
                <w:sz w:val="21"/>
                <w:szCs w:val="21"/>
              </w:rPr>
            </w:pPr>
            <w:r>
              <w:rPr>
                <w:rFonts w:hint="eastAsia" w:ascii="宋体" w:eastAsia="宋体" w:cs="宋体"/>
                <w:b/>
                <w:bCs/>
                <w:kern w:val="0"/>
                <w:sz w:val="21"/>
                <w:szCs w:val="21"/>
              </w:rPr>
              <w:t>（1）锚设备：船艏配</w:t>
            </w:r>
            <w:r>
              <w:rPr>
                <w:rFonts w:hint="eastAsia" w:ascii="宋体" w:cs="宋体"/>
                <w:b/>
                <w:bCs/>
                <w:kern w:val="0"/>
                <w:sz w:val="21"/>
                <w:szCs w:val="21"/>
                <w:lang w:val="en-US" w:eastAsia="zh-CN"/>
              </w:rPr>
              <w:t>不小于</w:t>
            </w:r>
            <w:r>
              <w:rPr>
                <w:rFonts w:hint="eastAsia" w:ascii="宋体" w:eastAsia="宋体" w:cs="宋体"/>
                <w:b/>
                <w:bCs/>
                <w:kern w:val="0"/>
                <w:sz w:val="21"/>
                <w:szCs w:val="21"/>
              </w:rPr>
              <w:t xml:space="preserve"> 12kg 大抓力锚 1 口，锚绳选用φ22mm 锦纶纤维锚索，长≥ 84m，航行时置于艏尖舱内。</w:t>
            </w:r>
          </w:p>
          <w:p w14:paraId="1276E89B">
            <w:pPr>
              <w:spacing w:line="360" w:lineRule="auto"/>
              <w:rPr>
                <w:rFonts w:hint="eastAsia" w:ascii="宋体" w:eastAsia="宋体" w:cs="宋体"/>
                <w:b/>
                <w:bCs/>
                <w:kern w:val="0"/>
                <w:sz w:val="21"/>
                <w:szCs w:val="21"/>
              </w:rPr>
            </w:pPr>
            <w:r>
              <w:rPr>
                <w:rFonts w:hint="eastAsia" w:ascii="宋体" w:eastAsia="宋体" w:cs="宋体"/>
                <w:b/>
                <w:bCs/>
                <w:kern w:val="0"/>
                <w:sz w:val="21"/>
                <w:szCs w:val="21"/>
              </w:rPr>
              <w:t>（2）系泊设备：</w:t>
            </w:r>
            <w:r>
              <w:rPr>
                <w:rFonts w:hint="eastAsia" w:ascii="宋体" w:cs="宋体"/>
                <w:b/>
                <w:bCs/>
                <w:kern w:val="0"/>
                <w:sz w:val="21"/>
                <w:szCs w:val="21"/>
                <w:highlight w:val="none"/>
                <w:lang w:val="en-US" w:eastAsia="zh-CN"/>
              </w:rPr>
              <w:t>公务艇</w:t>
            </w:r>
            <w:r>
              <w:rPr>
                <w:rFonts w:hint="eastAsia" w:ascii="宋体" w:eastAsia="宋体" w:cs="宋体"/>
                <w:b/>
                <w:bCs/>
                <w:kern w:val="0"/>
                <w:sz w:val="21"/>
                <w:szCs w:val="21"/>
              </w:rPr>
              <w:t>艏艉两侧共装有铝合金单V字型系缆桩4只。首部配单十字缆桩1支。同时配备4个防碰球。</w:t>
            </w:r>
          </w:p>
          <w:p w14:paraId="16B59385">
            <w:pPr>
              <w:spacing w:line="360" w:lineRule="auto"/>
              <w:rPr>
                <w:rFonts w:hint="eastAsia" w:ascii="宋体" w:eastAsia="宋体" w:cs="宋体"/>
                <w:kern w:val="0"/>
                <w:sz w:val="21"/>
                <w:szCs w:val="21"/>
              </w:rPr>
            </w:pPr>
            <w:r>
              <w:rPr>
                <w:rFonts w:hint="eastAsia" w:ascii="宋体" w:eastAsia="宋体" w:cs="宋体"/>
                <w:b/>
                <w:bCs/>
                <w:kern w:val="0"/>
                <w:sz w:val="21"/>
                <w:szCs w:val="21"/>
              </w:rPr>
              <w:t>配有φ22mm（破断负荷为</w:t>
            </w:r>
            <w:r>
              <w:rPr>
                <w:rFonts w:hint="eastAsia" w:ascii="宋体" w:cs="宋体"/>
                <w:b/>
                <w:bCs/>
                <w:kern w:val="0"/>
                <w:sz w:val="21"/>
                <w:szCs w:val="21"/>
                <w:lang w:val="en-US" w:eastAsia="zh-CN"/>
              </w:rPr>
              <w:t>不少于</w:t>
            </w:r>
            <w:r>
              <w:rPr>
                <w:rFonts w:hint="eastAsia" w:ascii="宋体" w:eastAsia="宋体" w:cs="宋体"/>
                <w:b/>
                <w:bCs/>
                <w:kern w:val="0"/>
                <w:sz w:val="21"/>
                <w:szCs w:val="21"/>
              </w:rPr>
              <w:t>51.9KN)锦纶系船索 2 根，每根长 25m，总长 50m。艏柱设拖环1 只。</w:t>
            </w:r>
          </w:p>
        </w:tc>
      </w:tr>
      <w:tr w14:paraId="55F7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7" w:type="dxa"/>
            <w:vMerge w:val="continue"/>
          </w:tcPr>
          <w:p w14:paraId="3F611680"/>
        </w:tc>
        <w:tc>
          <w:tcPr>
            <w:tcW w:w="1292" w:type="dxa"/>
            <w:vMerge w:val="continue"/>
          </w:tcPr>
          <w:p w14:paraId="160B5915"/>
        </w:tc>
        <w:tc>
          <w:tcPr>
            <w:tcW w:w="6875" w:type="dxa"/>
          </w:tcPr>
          <w:p w14:paraId="4C114FA4">
            <w:pPr>
              <w:spacing w:line="360" w:lineRule="auto"/>
              <w:rPr>
                <w:rFonts w:hint="eastAsia" w:ascii="宋体" w:eastAsia="宋体" w:cs="宋体"/>
                <w:kern w:val="0"/>
                <w:sz w:val="21"/>
                <w:szCs w:val="21"/>
              </w:rPr>
            </w:pPr>
            <w:r>
              <w:rPr>
                <w:rFonts w:hint="eastAsia" w:ascii="宋体" w:eastAsia="宋体" w:cs="宋体"/>
                <w:kern w:val="0"/>
                <w:sz w:val="21"/>
                <w:szCs w:val="21"/>
              </w:rPr>
              <w:t>5.舱面属具</w:t>
            </w:r>
          </w:p>
          <w:p w14:paraId="6CE07CD9">
            <w:pPr>
              <w:spacing w:line="360" w:lineRule="auto"/>
              <w:rPr>
                <w:rFonts w:hint="eastAsia" w:ascii="宋体" w:eastAsia="宋体" w:cs="宋体"/>
                <w:kern w:val="0"/>
                <w:sz w:val="21"/>
                <w:szCs w:val="21"/>
              </w:rPr>
            </w:pPr>
            <w:r>
              <w:rPr>
                <w:rFonts w:hint="eastAsia" w:ascii="宋体" w:eastAsia="宋体" w:cs="宋体"/>
                <w:kern w:val="0"/>
                <w:sz w:val="21"/>
                <w:szCs w:val="21"/>
              </w:rPr>
              <w:t>（</w:t>
            </w:r>
            <w:r>
              <w:rPr>
                <w:rFonts w:hint="eastAsia" w:ascii="宋体" w:cs="宋体"/>
                <w:kern w:val="0"/>
                <w:sz w:val="21"/>
                <w:szCs w:val="21"/>
                <w:lang w:val="en-US" w:eastAsia="zh-CN"/>
              </w:rPr>
              <w:t>1）</w:t>
            </w:r>
            <w:r>
              <w:rPr>
                <w:rFonts w:hint="eastAsia" w:ascii="宋体" w:eastAsia="宋体" w:cs="宋体"/>
                <w:kern w:val="0"/>
                <w:sz w:val="21"/>
                <w:szCs w:val="21"/>
              </w:rPr>
              <w:t>驾驶舱前壁采用 2 扇钢化玻璃固定窗，并配有船用雨刮器，乘员驾驶舱两侧设铝合金移窗，艏尖舱及机舱各设舱口盖 1 个。</w:t>
            </w:r>
          </w:p>
          <w:p w14:paraId="19A62638">
            <w:pPr>
              <w:spacing w:line="360" w:lineRule="auto"/>
              <w:rPr>
                <w:rFonts w:hint="eastAsia" w:ascii="宋体" w:eastAsia="宋体" w:cs="宋体"/>
                <w:kern w:val="0"/>
                <w:sz w:val="21"/>
                <w:szCs w:val="21"/>
              </w:rPr>
            </w:pPr>
            <w:r>
              <w:rPr>
                <w:rFonts w:hint="eastAsia" w:ascii="宋体" w:eastAsia="宋体" w:cs="宋体"/>
                <w:kern w:val="0"/>
                <w:sz w:val="21"/>
                <w:szCs w:val="21"/>
              </w:rPr>
              <w:t>（</w:t>
            </w:r>
            <w:r>
              <w:rPr>
                <w:rFonts w:hint="eastAsia" w:ascii="宋体" w:cs="宋体"/>
                <w:kern w:val="0"/>
                <w:sz w:val="21"/>
                <w:szCs w:val="21"/>
                <w:lang w:val="en-US" w:eastAsia="zh-CN"/>
              </w:rPr>
              <w:t>2</w:t>
            </w:r>
            <w:r>
              <w:rPr>
                <w:rFonts w:hint="eastAsia" w:ascii="宋体" w:eastAsia="宋体" w:cs="宋体"/>
                <w:kern w:val="0"/>
                <w:sz w:val="21"/>
                <w:szCs w:val="21"/>
              </w:rPr>
              <w:t>）船四周设有</w:t>
            </w:r>
            <w:r>
              <w:rPr>
                <w:rFonts w:hint="eastAsia" w:ascii="宋体" w:cs="宋体"/>
                <w:kern w:val="0"/>
                <w:sz w:val="21"/>
                <w:szCs w:val="21"/>
                <w:lang w:val="en-US" w:eastAsia="zh-CN"/>
              </w:rPr>
              <w:t>不少于</w:t>
            </w:r>
            <w:r>
              <w:rPr>
                <w:rFonts w:hint="eastAsia" w:ascii="宋体" w:eastAsia="宋体" w:cs="宋体"/>
                <w:kern w:val="0"/>
                <w:sz w:val="21"/>
                <w:szCs w:val="21"/>
              </w:rPr>
              <w:t>900mm 高的铝合金护栏。露天甲板采用防滑砂，栏杆、扶手、把手、螺丝、螺母等零件均采用铝合金材质。</w:t>
            </w:r>
          </w:p>
          <w:p w14:paraId="63852B64">
            <w:pPr>
              <w:spacing w:line="360" w:lineRule="auto"/>
              <w:rPr>
                <w:rFonts w:hint="eastAsia" w:ascii="宋体" w:eastAsia="宋体" w:cs="宋体"/>
                <w:kern w:val="0"/>
                <w:sz w:val="21"/>
                <w:szCs w:val="21"/>
              </w:rPr>
            </w:pPr>
            <w:r>
              <w:rPr>
                <w:rFonts w:hint="eastAsia" w:ascii="宋体" w:eastAsia="宋体" w:cs="宋体"/>
                <w:kern w:val="0"/>
                <w:sz w:val="21"/>
                <w:szCs w:val="21"/>
              </w:rPr>
              <w:t>（</w:t>
            </w:r>
            <w:r>
              <w:rPr>
                <w:rFonts w:hint="eastAsia" w:ascii="宋体" w:cs="宋体"/>
                <w:kern w:val="0"/>
                <w:sz w:val="21"/>
                <w:szCs w:val="21"/>
                <w:lang w:val="en-US" w:eastAsia="zh-CN"/>
              </w:rPr>
              <w:t>3</w:t>
            </w:r>
            <w:r>
              <w:rPr>
                <w:rFonts w:hint="eastAsia" w:ascii="宋体" w:eastAsia="宋体" w:cs="宋体"/>
                <w:kern w:val="0"/>
                <w:sz w:val="21"/>
                <w:szCs w:val="21"/>
              </w:rPr>
              <w:t>）</w:t>
            </w:r>
            <w:r>
              <w:rPr>
                <w:rFonts w:hint="eastAsia" w:ascii="宋体" w:cs="宋体"/>
                <w:kern w:val="0"/>
                <w:sz w:val="21"/>
                <w:szCs w:val="21"/>
                <w:highlight w:val="none"/>
                <w:lang w:val="en-US" w:eastAsia="zh-CN"/>
              </w:rPr>
              <w:t>公务艇</w:t>
            </w:r>
            <w:r>
              <w:rPr>
                <w:rFonts w:hint="eastAsia" w:ascii="宋体" w:eastAsia="宋体" w:cs="宋体"/>
                <w:kern w:val="0"/>
                <w:sz w:val="21"/>
                <w:szCs w:val="21"/>
              </w:rPr>
              <w:t>顶部灯桅及天线为可倒式。</w:t>
            </w:r>
          </w:p>
          <w:p w14:paraId="181C7323">
            <w:pPr>
              <w:spacing w:line="360" w:lineRule="auto"/>
              <w:rPr>
                <w:rFonts w:hint="eastAsia" w:ascii="宋体" w:eastAsia="宋体" w:cs="宋体"/>
                <w:kern w:val="0"/>
                <w:sz w:val="21"/>
                <w:szCs w:val="21"/>
              </w:rPr>
            </w:pPr>
            <w:r>
              <w:rPr>
                <w:rFonts w:hint="eastAsia" w:ascii="宋体" w:eastAsia="宋体" w:cs="宋体"/>
                <w:kern w:val="0"/>
                <w:sz w:val="21"/>
                <w:szCs w:val="21"/>
              </w:rPr>
              <w:t>（</w:t>
            </w:r>
            <w:r>
              <w:rPr>
                <w:rFonts w:hint="eastAsia" w:ascii="宋体" w:cs="宋体"/>
                <w:kern w:val="0"/>
                <w:sz w:val="21"/>
                <w:szCs w:val="21"/>
                <w:lang w:val="en-US" w:eastAsia="zh-CN"/>
              </w:rPr>
              <w:t>4</w:t>
            </w:r>
            <w:r>
              <w:rPr>
                <w:rFonts w:hint="eastAsia" w:ascii="宋体" w:eastAsia="宋体" w:cs="宋体"/>
                <w:kern w:val="0"/>
                <w:sz w:val="21"/>
                <w:szCs w:val="21"/>
              </w:rPr>
              <w:t>）</w:t>
            </w:r>
            <w:r>
              <w:rPr>
                <w:rFonts w:hint="eastAsia" w:ascii="宋体" w:cs="宋体"/>
                <w:kern w:val="0"/>
                <w:sz w:val="21"/>
                <w:szCs w:val="21"/>
                <w:highlight w:val="none"/>
                <w:lang w:val="en-US" w:eastAsia="zh-CN"/>
              </w:rPr>
              <w:t>公务艇</w:t>
            </w:r>
            <w:r>
              <w:rPr>
                <w:rFonts w:hint="eastAsia" w:ascii="宋体" w:eastAsia="宋体" w:cs="宋体"/>
                <w:kern w:val="0"/>
                <w:sz w:val="21"/>
                <w:szCs w:val="21"/>
              </w:rPr>
              <w:t>船艏两侧部位采用铝制防撞条。</w:t>
            </w:r>
          </w:p>
          <w:p w14:paraId="6D11FB70">
            <w:pPr>
              <w:spacing w:line="360" w:lineRule="auto"/>
              <w:rPr>
                <w:rFonts w:hint="eastAsia" w:ascii="宋体" w:eastAsia="宋体" w:cs="宋体"/>
                <w:kern w:val="0"/>
                <w:sz w:val="21"/>
                <w:szCs w:val="21"/>
              </w:rPr>
            </w:pPr>
            <w:r>
              <w:rPr>
                <w:rFonts w:hint="eastAsia" w:ascii="宋体" w:eastAsia="宋体" w:cs="宋体"/>
                <w:kern w:val="0"/>
                <w:sz w:val="21"/>
                <w:szCs w:val="21"/>
              </w:rPr>
              <w:t>（</w:t>
            </w:r>
            <w:r>
              <w:rPr>
                <w:rFonts w:hint="eastAsia" w:ascii="宋体" w:cs="宋体"/>
                <w:kern w:val="0"/>
                <w:sz w:val="21"/>
                <w:szCs w:val="21"/>
                <w:lang w:val="en-US" w:eastAsia="zh-CN"/>
              </w:rPr>
              <w:t>5</w:t>
            </w:r>
            <w:r>
              <w:rPr>
                <w:rFonts w:hint="eastAsia" w:ascii="宋体" w:eastAsia="宋体" w:cs="宋体"/>
                <w:kern w:val="0"/>
                <w:sz w:val="21"/>
                <w:szCs w:val="21"/>
              </w:rPr>
              <w:t>）</w:t>
            </w:r>
            <w:r>
              <w:rPr>
                <w:rFonts w:hint="eastAsia" w:ascii="宋体" w:cs="宋体"/>
                <w:kern w:val="0"/>
                <w:sz w:val="21"/>
                <w:szCs w:val="21"/>
                <w:highlight w:val="none"/>
                <w:lang w:val="en-US" w:eastAsia="zh-CN"/>
              </w:rPr>
              <w:t>公务艇</w:t>
            </w:r>
            <w:r>
              <w:rPr>
                <w:rFonts w:hint="eastAsia" w:ascii="宋体" w:eastAsia="宋体" w:cs="宋体"/>
                <w:kern w:val="0"/>
                <w:sz w:val="21"/>
                <w:szCs w:val="21"/>
              </w:rPr>
              <w:t>设长排警灯一套，控制器在驾控台。</w:t>
            </w:r>
          </w:p>
        </w:tc>
      </w:tr>
      <w:tr w14:paraId="078DA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5" w:hRule="atLeast"/>
        </w:trPr>
        <w:tc>
          <w:tcPr>
            <w:tcW w:w="707" w:type="dxa"/>
            <w:vMerge w:val="continue"/>
          </w:tcPr>
          <w:p w14:paraId="5DBB4DEF"/>
        </w:tc>
        <w:tc>
          <w:tcPr>
            <w:tcW w:w="1292" w:type="dxa"/>
            <w:vMerge w:val="continue"/>
          </w:tcPr>
          <w:p w14:paraId="0E7FFFDD"/>
        </w:tc>
        <w:tc>
          <w:tcPr>
            <w:tcW w:w="6875" w:type="dxa"/>
          </w:tcPr>
          <w:p w14:paraId="60690B67">
            <w:pPr>
              <w:spacing w:line="360" w:lineRule="auto"/>
              <w:rPr>
                <w:rFonts w:hint="eastAsia" w:ascii="宋体" w:eastAsia="宋体" w:cs="宋体"/>
                <w:kern w:val="0"/>
                <w:sz w:val="21"/>
                <w:szCs w:val="21"/>
              </w:rPr>
            </w:pPr>
            <w:r>
              <w:rPr>
                <w:rFonts w:hint="eastAsia" w:ascii="宋体" w:eastAsia="宋体" w:cs="宋体"/>
                <w:kern w:val="0"/>
                <w:sz w:val="21"/>
                <w:szCs w:val="21"/>
              </w:rPr>
              <w:t>6.救生消防设备</w:t>
            </w:r>
          </w:p>
          <w:p w14:paraId="2612D1E7">
            <w:pPr>
              <w:spacing w:line="360" w:lineRule="auto"/>
              <w:rPr>
                <w:rFonts w:hint="eastAsia" w:ascii="宋体" w:eastAsia="宋体" w:cs="宋体"/>
                <w:kern w:val="0"/>
                <w:sz w:val="21"/>
                <w:szCs w:val="21"/>
              </w:rPr>
            </w:pPr>
            <w:r>
              <w:rPr>
                <w:rFonts w:hint="eastAsia" w:ascii="宋体" w:eastAsia="宋体" w:cs="宋体"/>
                <w:kern w:val="0"/>
                <w:sz w:val="21"/>
                <w:szCs w:val="21"/>
              </w:rPr>
              <w:t>（1）</w:t>
            </w:r>
            <w:r>
              <w:rPr>
                <w:rFonts w:hint="eastAsia" w:ascii="宋体" w:cs="宋体"/>
                <w:kern w:val="0"/>
                <w:sz w:val="21"/>
                <w:szCs w:val="21"/>
                <w:highlight w:val="none"/>
                <w:lang w:val="en-US" w:eastAsia="zh-CN"/>
              </w:rPr>
              <w:t>公务艇</w:t>
            </w:r>
            <w:r>
              <w:rPr>
                <w:rFonts w:hint="eastAsia" w:ascii="宋体" w:eastAsia="宋体" w:cs="宋体"/>
                <w:kern w:val="0"/>
                <w:sz w:val="21"/>
                <w:szCs w:val="21"/>
              </w:rPr>
              <w:t>配有乘员救生衣共7件，安放在座椅底下，所有救生衣均带有救生衣灯。带有30m长救生浮索救生圈2只，悬挂在上甲板侧栏杆上。</w:t>
            </w:r>
          </w:p>
          <w:p w14:paraId="4E4CE631">
            <w:pPr>
              <w:spacing w:line="360" w:lineRule="auto"/>
              <w:rPr>
                <w:rFonts w:hint="eastAsia" w:ascii="宋体" w:eastAsia="宋体" w:cs="宋体"/>
                <w:kern w:val="0"/>
                <w:sz w:val="21"/>
                <w:szCs w:val="21"/>
              </w:rPr>
            </w:pPr>
            <w:r>
              <w:rPr>
                <w:rFonts w:hint="eastAsia" w:ascii="宋体" w:eastAsia="宋体" w:cs="宋体"/>
                <w:kern w:val="0"/>
                <w:sz w:val="21"/>
                <w:szCs w:val="21"/>
              </w:rPr>
              <w:t>（2）</w:t>
            </w:r>
            <w:r>
              <w:rPr>
                <w:rFonts w:hint="eastAsia" w:ascii="宋体" w:cs="宋体"/>
                <w:kern w:val="0"/>
                <w:sz w:val="21"/>
                <w:szCs w:val="21"/>
                <w:highlight w:val="none"/>
                <w:lang w:val="en-US" w:eastAsia="zh-CN"/>
              </w:rPr>
              <w:t>公务艇</w:t>
            </w:r>
            <w:r>
              <w:rPr>
                <w:rFonts w:hint="eastAsia" w:ascii="宋体" w:eastAsia="宋体" w:cs="宋体"/>
                <w:kern w:val="0"/>
                <w:sz w:val="21"/>
                <w:szCs w:val="21"/>
              </w:rPr>
              <w:t>在艏舱和乘员驾驶舱各配手提式5kg干粉灭火器3个，配手提式5kg二氧化碳灭火器1个；太平斧1把，带绳消防桶1只。</w:t>
            </w:r>
          </w:p>
          <w:p w14:paraId="782B856F">
            <w:pPr>
              <w:spacing w:line="360" w:lineRule="auto"/>
              <w:rPr>
                <w:rFonts w:hint="eastAsia" w:ascii="宋体" w:eastAsia="宋体" w:cs="宋体"/>
                <w:kern w:val="0"/>
                <w:sz w:val="21"/>
                <w:szCs w:val="21"/>
              </w:rPr>
            </w:pPr>
            <w:r>
              <w:rPr>
                <w:rFonts w:hint="eastAsia" w:ascii="宋体" w:eastAsia="宋体" w:cs="宋体"/>
                <w:kern w:val="0"/>
                <w:sz w:val="21"/>
                <w:szCs w:val="21"/>
              </w:rPr>
              <w:t>（</w:t>
            </w:r>
            <w:r>
              <w:rPr>
                <w:rFonts w:hint="eastAsia" w:ascii="宋体" w:cs="宋体"/>
                <w:kern w:val="0"/>
                <w:sz w:val="21"/>
                <w:szCs w:val="21"/>
                <w:lang w:val="en-US" w:eastAsia="zh-CN"/>
              </w:rPr>
              <w:t>3</w:t>
            </w:r>
            <w:r>
              <w:rPr>
                <w:rFonts w:hint="eastAsia" w:ascii="宋体" w:eastAsia="宋体" w:cs="宋体"/>
                <w:kern w:val="0"/>
                <w:sz w:val="21"/>
                <w:szCs w:val="21"/>
              </w:rPr>
              <w:t>）遇险信号：配有6支降落伞火箭信号，以上具体以规范要求配备为准。</w:t>
            </w:r>
          </w:p>
        </w:tc>
      </w:tr>
      <w:tr w14:paraId="0B8B5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5" w:hRule="atLeast"/>
        </w:trPr>
        <w:tc>
          <w:tcPr>
            <w:tcW w:w="707" w:type="dxa"/>
            <w:vMerge w:val="continue"/>
          </w:tcPr>
          <w:p w14:paraId="07E42CED"/>
        </w:tc>
        <w:tc>
          <w:tcPr>
            <w:tcW w:w="1292" w:type="dxa"/>
            <w:vMerge w:val="continue"/>
          </w:tcPr>
          <w:p w14:paraId="5AA8545F"/>
        </w:tc>
        <w:tc>
          <w:tcPr>
            <w:tcW w:w="6875" w:type="dxa"/>
          </w:tcPr>
          <w:p w14:paraId="32CB523C">
            <w:pPr>
              <w:spacing w:line="360" w:lineRule="auto"/>
              <w:rPr>
                <w:rFonts w:hint="eastAsia" w:ascii="宋体" w:eastAsia="宋体" w:cs="宋体"/>
                <w:kern w:val="0"/>
                <w:sz w:val="21"/>
                <w:szCs w:val="21"/>
              </w:rPr>
            </w:pPr>
            <w:r>
              <w:rPr>
                <w:rFonts w:hint="eastAsia" w:ascii="宋体" w:eastAsia="宋体" w:cs="宋体"/>
                <w:kern w:val="0"/>
                <w:sz w:val="21"/>
                <w:szCs w:val="21"/>
              </w:rPr>
              <w:t>（二）、轮机部分</w:t>
            </w:r>
          </w:p>
          <w:p w14:paraId="5CC2C55E">
            <w:pPr>
              <w:spacing w:line="360" w:lineRule="auto"/>
              <w:rPr>
                <w:rFonts w:hint="eastAsia" w:ascii="宋体" w:eastAsia="宋体" w:cs="宋体"/>
                <w:b/>
                <w:bCs/>
                <w:kern w:val="0"/>
                <w:sz w:val="21"/>
                <w:szCs w:val="21"/>
                <w:highlight w:val="yellow"/>
              </w:rPr>
            </w:pPr>
            <w:r>
              <w:rPr>
                <w:rFonts w:hint="eastAsia" w:ascii="宋体" w:eastAsia="宋体" w:cs="宋体"/>
                <w:b/>
                <w:bCs/>
                <w:kern w:val="0"/>
                <w:sz w:val="21"/>
                <w:szCs w:val="21"/>
                <w:highlight w:val="yellow"/>
              </w:rPr>
              <w:t>★1.主机及推进装置</w:t>
            </w:r>
          </w:p>
          <w:p w14:paraId="17E8D988">
            <w:pPr>
              <w:spacing w:line="360" w:lineRule="auto"/>
              <w:rPr>
                <w:rFonts w:hint="eastAsia" w:ascii="宋体" w:eastAsia="宋体" w:cs="宋体"/>
                <w:kern w:val="0"/>
                <w:sz w:val="21"/>
                <w:szCs w:val="21"/>
              </w:rPr>
            </w:pPr>
            <w:r>
              <w:rPr>
                <w:rFonts w:hint="eastAsia" w:ascii="宋体" w:eastAsia="宋体" w:cs="宋体"/>
                <w:b/>
                <w:bCs/>
                <w:kern w:val="0"/>
                <w:sz w:val="21"/>
                <w:szCs w:val="21"/>
                <w:highlight w:val="yellow"/>
              </w:rPr>
              <w:t>采用四冲程汽油外挂机，总功率：不低于</w:t>
            </w:r>
            <w:r>
              <w:rPr>
                <w:rFonts w:hint="eastAsia" w:ascii="宋体" w:cs="宋体"/>
                <w:b/>
                <w:bCs/>
                <w:kern w:val="0"/>
                <w:sz w:val="21"/>
                <w:szCs w:val="21"/>
                <w:highlight w:val="yellow"/>
                <w:lang w:val="en-US" w:eastAsia="zh-CN"/>
              </w:rPr>
              <w:t>7</w:t>
            </w:r>
            <w:r>
              <w:rPr>
                <w:rFonts w:hint="eastAsia" w:ascii="宋体" w:eastAsia="宋体" w:cs="宋体"/>
                <w:b/>
                <w:bCs/>
                <w:kern w:val="0"/>
                <w:sz w:val="21"/>
                <w:szCs w:val="21"/>
                <w:highlight w:val="yellow"/>
              </w:rPr>
              <w:t>00 HP，启动/控制：DC12V电启动/电控，</w:t>
            </w:r>
            <w:r>
              <w:rPr>
                <w:rFonts w:hint="eastAsia" w:ascii="宋体" w:cs="宋体"/>
                <w:b/>
                <w:bCs/>
                <w:kern w:val="0"/>
                <w:szCs w:val="21"/>
                <w:highlight w:val="yellow"/>
                <w:lang w:val="en-US" w:eastAsia="zh-CN"/>
              </w:rPr>
              <w:t>所投船艇发动机须具备中华人民共和国海事局认可的船舶检验机构签发的船用产品检验合格证书，检验机构包括但不限于中国船级社（CCS）、各地方船舶检验机构（ZC）等，验收时须提供满足要求的检验合格证书</w:t>
            </w:r>
            <w:r>
              <w:rPr>
                <w:rFonts w:hint="eastAsia" w:ascii="宋体" w:eastAsia="宋体" w:cs="宋体"/>
                <w:b/>
                <w:bCs/>
                <w:kern w:val="0"/>
                <w:sz w:val="21"/>
                <w:szCs w:val="21"/>
                <w:highlight w:val="yellow"/>
              </w:rPr>
              <w:t>。</w:t>
            </w:r>
          </w:p>
        </w:tc>
      </w:tr>
      <w:tr w14:paraId="6D29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8" w:hRule="atLeast"/>
        </w:trPr>
        <w:tc>
          <w:tcPr>
            <w:tcW w:w="707" w:type="dxa"/>
            <w:vMerge w:val="continue"/>
          </w:tcPr>
          <w:p w14:paraId="50DAE8F6"/>
        </w:tc>
        <w:tc>
          <w:tcPr>
            <w:tcW w:w="1292" w:type="dxa"/>
            <w:vMerge w:val="continue"/>
          </w:tcPr>
          <w:p w14:paraId="1025CA8C"/>
        </w:tc>
        <w:tc>
          <w:tcPr>
            <w:tcW w:w="6875" w:type="dxa"/>
          </w:tcPr>
          <w:p w14:paraId="54C41AD2">
            <w:pPr>
              <w:spacing w:line="360" w:lineRule="auto"/>
              <w:rPr>
                <w:rFonts w:hint="eastAsia" w:ascii="宋体" w:eastAsia="宋体" w:cs="宋体"/>
                <w:kern w:val="0"/>
                <w:sz w:val="21"/>
                <w:szCs w:val="21"/>
              </w:rPr>
            </w:pPr>
            <w:r>
              <w:rPr>
                <w:rFonts w:hint="eastAsia" w:ascii="宋体" w:eastAsia="宋体" w:cs="宋体"/>
                <w:kern w:val="0"/>
                <w:sz w:val="21"/>
                <w:szCs w:val="21"/>
              </w:rPr>
              <w:t>2.挂机布置</w:t>
            </w:r>
          </w:p>
          <w:p w14:paraId="7788E050">
            <w:pPr>
              <w:spacing w:line="360" w:lineRule="auto"/>
              <w:rPr>
                <w:rFonts w:hint="eastAsia" w:ascii="宋体" w:eastAsia="宋体" w:cs="宋体"/>
                <w:kern w:val="0"/>
                <w:sz w:val="21"/>
                <w:szCs w:val="21"/>
              </w:rPr>
            </w:pPr>
            <w:r>
              <w:rPr>
                <w:rFonts w:hint="eastAsia" w:ascii="宋体" w:cs="宋体"/>
                <w:kern w:val="0"/>
                <w:sz w:val="21"/>
                <w:szCs w:val="21"/>
                <w:highlight w:val="none"/>
                <w:lang w:val="en-US" w:eastAsia="zh-CN"/>
              </w:rPr>
              <w:t>公务艇</w:t>
            </w:r>
            <w:r>
              <w:rPr>
                <w:rFonts w:hint="eastAsia" w:ascii="宋体" w:eastAsia="宋体" w:cs="宋体"/>
                <w:kern w:val="0"/>
                <w:sz w:val="21"/>
                <w:szCs w:val="21"/>
              </w:rPr>
              <w:t>为挂机型，挂机设置在船尾。在0#—2#肋位处，甲板开有舱口盖。</w:t>
            </w:r>
          </w:p>
          <w:p w14:paraId="366A1BF4">
            <w:pPr>
              <w:spacing w:line="360" w:lineRule="auto"/>
              <w:rPr>
                <w:rFonts w:hint="eastAsia" w:ascii="宋体" w:eastAsia="宋体" w:cs="宋体"/>
                <w:kern w:val="0"/>
                <w:sz w:val="21"/>
                <w:szCs w:val="21"/>
              </w:rPr>
            </w:pPr>
            <w:r>
              <w:rPr>
                <w:rFonts w:hint="eastAsia" w:ascii="宋体" w:eastAsia="宋体" w:cs="宋体"/>
                <w:kern w:val="0"/>
                <w:sz w:val="21"/>
                <w:szCs w:val="21"/>
              </w:rPr>
              <w:t>舷外挂机机组安装地艉封板上，对称并列布置，其它设备布置在尾舱、燃油舱及空舱内。</w:t>
            </w:r>
          </w:p>
        </w:tc>
      </w:tr>
      <w:tr w14:paraId="3FD2B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707" w:type="dxa"/>
            <w:vMerge w:val="continue"/>
          </w:tcPr>
          <w:p w14:paraId="7A3BB9D7"/>
        </w:tc>
        <w:tc>
          <w:tcPr>
            <w:tcW w:w="1292" w:type="dxa"/>
            <w:vMerge w:val="continue"/>
          </w:tcPr>
          <w:p w14:paraId="62AA9619"/>
        </w:tc>
        <w:tc>
          <w:tcPr>
            <w:tcW w:w="6875" w:type="dxa"/>
          </w:tcPr>
          <w:p w14:paraId="5A8ED1C6">
            <w:pPr>
              <w:spacing w:line="360" w:lineRule="auto"/>
              <w:rPr>
                <w:rFonts w:hint="eastAsia" w:ascii="宋体" w:eastAsia="宋体" w:cs="宋体"/>
                <w:b w:val="0"/>
                <w:bCs w:val="0"/>
                <w:kern w:val="0"/>
                <w:sz w:val="21"/>
                <w:szCs w:val="21"/>
              </w:rPr>
            </w:pPr>
            <w:r>
              <w:rPr>
                <w:rFonts w:hint="eastAsia" w:ascii="宋体" w:eastAsia="宋体" w:cs="宋体"/>
                <w:b w:val="0"/>
                <w:bCs w:val="0"/>
                <w:kern w:val="0"/>
                <w:sz w:val="21"/>
                <w:szCs w:val="21"/>
              </w:rPr>
              <w:t>3.主机遥控系统及操舵系统</w:t>
            </w:r>
          </w:p>
          <w:p w14:paraId="1F569A33">
            <w:pPr>
              <w:spacing w:line="360" w:lineRule="auto"/>
              <w:rPr>
                <w:rFonts w:hint="eastAsia" w:ascii="宋体" w:eastAsia="宋体" w:cs="宋体"/>
                <w:b w:val="0"/>
                <w:bCs w:val="0"/>
                <w:kern w:val="0"/>
                <w:sz w:val="21"/>
                <w:szCs w:val="21"/>
              </w:rPr>
            </w:pPr>
            <w:r>
              <w:rPr>
                <w:rFonts w:hint="eastAsia" w:ascii="宋体" w:cs="宋体"/>
                <w:b w:val="0"/>
                <w:bCs w:val="0"/>
                <w:kern w:val="0"/>
                <w:sz w:val="21"/>
                <w:szCs w:val="21"/>
                <w:highlight w:val="none"/>
                <w:lang w:val="en-US" w:eastAsia="zh-CN"/>
              </w:rPr>
              <w:t>公务艇</w:t>
            </w:r>
            <w:r>
              <w:rPr>
                <w:rFonts w:hint="eastAsia" w:ascii="宋体" w:eastAsia="宋体" w:cs="宋体"/>
                <w:b w:val="0"/>
                <w:bCs w:val="0"/>
                <w:kern w:val="0"/>
                <w:sz w:val="21"/>
                <w:szCs w:val="21"/>
              </w:rPr>
              <w:t>采用单站驾驶,在驾驶台设有遥控装置，以实现舷外挂机组的遥控。舷外挂机组采用随机配带的电控遥控装置，通过驾驶室控制台的手柄可实现舷外挂机的油门调速、齿轮箱的离合和换向。</w:t>
            </w:r>
          </w:p>
          <w:p w14:paraId="1C88D3F2">
            <w:pPr>
              <w:spacing w:line="360" w:lineRule="auto"/>
              <w:rPr>
                <w:rFonts w:hint="eastAsia" w:ascii="宋体" w:eastAsia="宋体" w:cs="宋体"/>
                <w:b w:val="0"/>
                <w:bCs w:val="0"/>
                <w:kern w:val="0"/>
                <w:sz w:val="21"/>
                <w:szCs w:val="21"/>
              </w:rPr>
            </w:pPr>
            <w:r>
              <w:rPr>
                <w:rFonts w:hint="eastAsia" w:ascii="宋体" w:eastAsia="宋体" w:cs="宋体"/>
                <w:b w:val="0"/>
                <w:bCs w:val="0"/>
                <w:kern w:val="0"/>
                <w:sz w:val="21"/>
                <w:szCs w:val="21"/>
              </w:rPr>
              <w:t>通过启停开关对主机进行遥控启动、停车。采用电动倾斜液压升降，在驾驶控制台上设有倾斜角度表及转速表，可对主机运行状态进行监视，通过转动方向盘控制艉部推进装置左右摆动可改变船舶航向。</w:t>
            </w:r>
          </w:p>
          <w:p w14:paraId="78A974AC">
            <w:pPr>
              <w:spacing w:line="360" w:lineRule="auto"/>
              <w:rPr>
                <w:rFonts w:hint="eastAsia" w:ascii="宋体" w:eastAsia="宋体" w:cs="宋体"/>
                <w:kern w:val="0"/>
                <w:sz w:val="21"/>
                <w:szCs w:val="21"/>
              </w:rPr>
            </w:pPr>
            <w:r>
              <w:rPr>
                <w:rFonts w:hint="eastAsia" w:ascii="宋体" w:eastAsia="宋体" w:cs="宋体"/>
                <w:b w:val="0"/>
                <w:bCs w:val="0"/>
                <w:kern w:val="0"/>
                <w:sz w:val="21"/>
                <w:szCs w:val="21"/>
              </w:rPr>
              <w:t>驾驶室控制台装有仪表盘，包括：滑油压力表、水温表、转速表及主机高水温、低油压报警器等主机仪表。</w:t>
            </w:r>
          </w:p>
        </w:tc>
      </w:tr>
      <w:tr w14:paraId="7018D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707" w:type="dxa"/>
            <w:vMerge w:val="continue"/>
          </w:tcPr>
          <w:p w14:paraId="7C4B97DE"/>
        </w:tc>
        <w:tc>
          <w:tcPr>
            <w:tcW w:w="1292" w:type="dxa"/>
            <w:vMerge w:val="continue"/>
          </w:tcPr>
          <w:p w14:paraId="5D8E5999"/>
        </w:tc>
        <w:tc>
          <w:tcPr>
            <w:tcW w:w="6875" w:type="dxa"/>
          </w:tcPr>
          <w:p w14:paraId="172C4679">
            <w:pPr>
              <w:spacing w:line="360" w:lineRule="auto"/>
              <w:rPr>
                <w:rFonts w:hint="eastAsia" w:ascii="宋体" w:eastAsia="宋体" w:cs="宋体"/>
                <w:kern w:val="0"/>
                <w:sz w:val="21"/>
                <w:szCs w:val="21"/>
              </w:rPr>
            </w:pPr>
            <w:r>
              <w:rPr>
                <w:rFonts w:hint="eastAsia" w:ascii="宋体" w:eastAsia="宋体" w:cs="宋体"/>
                <w:kern w:val="0"/>
                <w:sz w:val="21"/>
                <w:szCs w:val="21"/>
              </w:rPr>
              <w:t>4.动力系统</w:t>
            </w:r>
          </w:p>
          <w:p w14:paraId="21A2F33E">
            <w:pPr>
              <w:spacing w:line="360" w:lineRule="auto"/>
              <w:rPr>
                <w:rFonts w:hint="eastAsia" w:ascii="宋体" w:eastAsia="宋体" w:cs="宋体"/>
                <w:kern w:val="0"/>
                <w:sz w:val="21"/>
                <w:szCs w:val="21"/>
              </w:rPr>
            </w:pPr>
            <w:r>
              <w:rPr>
                <w:rFonts w:hint="eastAsia" w:ascii="宋体" w:eastAsia="宋体" w:cs="宋体"/>
                <w:kern w:val="0"/>
                <w:sz w:val="21"/>
                <w:szCs w:val="21"/>
              </w:rPr>
              <w:t>（1）燃油系统</w:t>
            </w:r>
          </w:p>
          <w:p w14:paraId="418B3C96">
            <w:pPr>
              <w:spacing w:line="360" w:lineRule="auto"/>
              <w:rPr>
                <w:rFonts w:hint="eastAsia" w:ascii="宋体" w:eastAsia="宋体" w:cs="宋体"/>
                <w:kern w:val="0"/>
                <w:sz w:val="21"/>
                <w:szCs w:val="21"/>
              </w:rPr>
            </w:pPr>
            <w:r>
              <w:rPr>
                <w:rFonts w:hint="eastAsia" w:ascii="宋体" w:eastAsia="宋体" w:cs="宋体"/>
                <w:kern w:val="0"/>
                <w:sz w:val="21"/>
                <w:szCs w:val="21"/>
              </w:rPr>
              <w:t>舷外汽油挂机采用95号</w:t>
            </w:r>
            <w:r>
              <w:rPr>
                <w:rFonts w:hint="eastAsia" w:ascii="宋体" w:eastAsia="宋体" w:cs="宋体"/>
                <w:kern w:val="0"/>
                <w:sz w:val="21"/>
                <w:szCs w:val="21"/>
                <w:highlight w:val="none"/>
              </w:rPr>
              <w:t>及以上无铅汽油作燃料。本系统由不锈钢汽油箱及管路阀件等组成。设不低于800L不锈钢汽油箱</w:t>
            </w:r>
            <w:r>
              <w:rPr>
                <w:rFonts w:hint="eastAsia" w:ascii="宋体" w:eastAsia="宋体" w:cs="宋体"/>
                <w:kern w:val="0"/>
                <w:sz w:val="21"/>
                <w:szCs w:val="21"/>
              </w:rPr>
              <w:t>一个。汽油通过汽油箱注入口对汽油箱加油。主机运转时，汽油从汽油箱经过滤器进入主机燃油泵。汽油箱</w:t>
            </w:r>
            <w:r>
              <w:rPr>
                <w:rFonts w:hint="eastAsia" w:ascii="宋体" w:cs="宋体"/>
                <w:kern w:val="0"/>
                <w:sz w:val="21"/>
                <w:szCs w:val="21"/>
                <w:lang w:val="en-US" w:eastAsia="zh-CN"/>
              </w:rPr>
              <w:t>四周设</w:t>
            </w:r>
            <w:r>
              <w:rPr>
                <w:rFonts w:hint="eastAsia" w:ascii="宋体" w:eastAsia="宋体" w:cs="宋体"/>
                <w:kern w:val="0"/>
                <w:sz w:val="21"/>
                <w:szCs w:val="21"/>
              </w:rPr>
              <w:t>有防火分隔及自然通风系统。汽油箱安装前应进行压力试验，试验压力为≥0.03MPa。</w:t>
            </w:r>
          </w:p>
          <w:p w14:paraId="4710120F">
            <w:pPr>
              <w:spacing w:line="360" w:lineRule="auto"/>
              <w:rPr>
                <w:rFonts w:hint="eastAsia" w:ascii="宋体" w:eastAsia="宋体" w:cs="宋体"/>
                <w:kern w:val="0"/>
                <w:sz w:val="21"/>
                <w:szCs w:val="21"/>
              </w:rPr>
            </w:pPr>
            <w:r>
              <w:rPr>
                <w:rFonts w:hint="eastAsia" w:ascii="宋体" w:eastAsia="宋体" w:cs="宋体"/>
                <w:kern w:val="0"/>
                <w:sz w:val="21"/>
                <w:szCs w:val="21"/>
              </w:rPr>
              <w:t>（2）滑油系统</w:t>
            </w:r>
          </w:p>
          <w:p w14:paraId="2F4870FE">
            <w:pPr>
              <w:spacing w:line="360" w:lineRule="auto"/>
              <w:rPr>
                <w:rFonts w:hint="eastAsia" w:ascii="宋体" w:eastAsia="宋体" w:cs="宋体"/>
                <w:kern w:val="0"/>
                <w:sz w:val="21"/>
                <w:szCs w:val="21"/>
              </w:rPr>
            </w:pPr>
            <w:r>
              <w:rPr>
                <w:rFonts w:hint="eastAsia" w:ascii="宋体" w:eastAsia="宋体" w:cs="宋体"/>
                <w:kern w:val="0"/>
                <w:sz w:val="21"/>
                <w:szCs w:val="21"/>
              </w:rPr>
              <w:t>主机组自带润滑系统。</w:t>
            </w:r>
          </w:p>
          <w:p w14:paraId="0C9B576E">
            <w:pPr>
              <w:spacing w:line="360" w:lineRule="auto"/>
              <w:rPr>
                <w:rFonts w:hint="eastAsia" w:ascii="宋体" w:eastAsia="宋体" w:cs="宋体"/>
                <w:kern w:val="0"/>
                <w:sz w:val="21"/>
                <w:szCs w:val="21"/>
              </w:rPr>
            </w:pPr>
            <w:r>
              <w:rPr>
                <w:rFonts w:hint="eastAsia" w:ascii="宋体" w:eastAsia="宋体" w:cs="宋体"/>
                <w:kern w:val="0"/>
                <w:sz w:val="21"/>
                <w:szCs w:val="21"/>
              </w:rPr>
              <w:t>（3）冷却水系统</w:t>
            </w:r>
          </w:p>
          <w:p w14:paraId="79B6968A">
            <w:pPr>
              <w:spacing w:line="360" w:lineRule="auto"/>
              <w:rPr>
                <w:rFonts w:hint="eastAsia" w:ascii="宋体" w:eastAsia="宋体" w:cs="宋体"/>
                <w:kern w:val="0"/>
                <w:sz w:val="21"/>
                <w:szCs w:val="21"/>
              </w:rPr>
            </w:pPr>
            <w:r>
              <w:rPr>
                <w:rFonts w:hint="eastAsia" w:ascii="宋体" w:eastAsia="宋体" w:cs="宋体"/>
                <w:kern w:val="0"/>
                <w:sz w:val="21"/>
                <w:szCs w:val="21"/>
              </w:rPr>
              <w:t>主机的冷却水系统随主机提供，内外冷却水系统均与主机设计成一体。主机采用海水开式循环；海水由艉机吸入，经主机带冷却水泵送至汽油机内,冷却主机后随尾气排出。</w:t>
            </w:r>
          </w:p>
          <w:p w14:paraId="4D2755A7">
            <w:pPr>
              <w:spacing w:line="360" w:lineRule="auto"/>
              <w:rPr>
                <w:rFonts w:hint="eastAsia" w:ascii="宋体" w:eastAsia="宋体" w:cs="宋体"/>
                <w:kern w:val="0"/>
                <w:sz w:val="21"/>
                <w:szCs w:val="21"/>
              </w:rPr>
            </w:pPr>
            <w:r>
              <w:rPr>
                <w:rFonts w:hint="eastAsia" w:ascii="宋体" w:eastAsia="宋体" w:cs="宋体"/>
                <w:kern w:val="0"/>
                <w:sz w:val="21"/>
                <w:szCs w:val="21"/>
              </w:rPr>
              <w:t>（4）排气系统及布置</w:t>
            </w:r>
          </w:p>
          <w:p w14:paraId="1F61B39A">
            <w:pPr>
              <w:spacing w:line="360" w:lineRule="auto"/>
              <w:rPr>
                <w:rFonts w:hint="eastAsia" w:ascii="宋体" w:eastAsia="宋体" w:cs="宋体"/>
                <w:kern w:val="0"/>
                <w:sz w:val="21"/>
                <w:szCs w:val="21"/>
              </w:rPr>
            </w:pPr>
            <w:r>
              <w:rPr>
                <w:rFonts w:hint="eastAsia" w:ascii="宋体" w:eastAsia="宋体" w:cs="宋体"/>
                <w:kern w:val="0"/>
                <w:sz w:val="21"/>
                <w:szCs w:val="21"/>
              </w:rPr>
              <w:t>主机采用尾排气。主机废气汽、水混合后从艉机出水口排出舷外。</w:t>
            </w:r>
          </w:p>
        </w:tc>
      </w:tr>
      <w:tr w14:paraId="660C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trPr>
        <w:tc>
          <w:tcPr>
            <w:tcW w:w="707" w:type="dxa"/>
            <w:vMerge w:val="continue"/>
          </w:tcPr>
          <w:p w14:paraId="07B0E653"/>
        </w:tc>
        <w:tc>
          <w:tcPr>
            <w:tcW w:w="1292" w:type="dxa"/>
            <w:vMerge w:val="continue"/>
          </w:tcPr>
          <w:p w14:paraId="59AB633E"/>
        </w:tc>
        <w:tc>
          <w:tcPr>
            <w:tcW w:w="6875" w:type="dxa"/>
          </w:tcPr>
          <w:p w14:paraId="6B62EF41">
            <w:pPr>
              <w:spacing w:line="360" w:lineRule="auto"/>
              <w:rPr>
                <w:rFonts w:hint="eastAsia" w:ascii="宋体" w:eastAsia="宋体" w:cs="宋体"/>
                <w:kern w:val="0"/>
                <w:sz w:val="21"/>
                <w:szCs w:val="21"/>
              </w:rPr>
            </w:pPr>
            <w:r>
              <w:rPr>
                <w:rFonts w:hint="eastAsia" w:ascii="宋体" w:eastAsia="宋体" w:cs="宋体"/>
                <w:kern w:val="0"/>
                <w:sz w:val="21"/>
                <w:szCs w:val="21"/>
              </w:rPr>
              <w:t>5.船舶系统</w:t>
            </w:r>
          </w:p>
          <w:p w14:paraId="275D5A9D">
            <w:pPr>
              <w:spacing w:line="360" w:lineRule="auto"/>
              <w:rPr>
                <w:rFonts w:hint="eastAsia" w:ascii="宋体" w:eastAsia="宋体" w:cs="宋体"/>
                <w:kern w:val="0"/>
                <w:sz w:val="21"/>
                <w:szCs w:val="21"/>
              </w:rPr>
            </w:pPr>
            <w:r>
              <w:rPr>
                <w:rFonts w:hint="eastAsia" w:ascii="宋体" w:eastAsia="宋体" w:cs="宋体"/>
                <w:kern w:val="0"/>
                <w:sz w:val="21"/>
                <w:szCs w:val="21"/>
              </w:rPr>
              <w:t>机舱设有舱底手摇泵一台,可将艉舱、乘员舱和储物舱等舱底水抽出排到舷外。另还设有2台抽水泵，其中一台为可移动式的；用以抽艉舱和艏尖舱舱底积水。各舱底设置有舱底水高位报警装置。</w:t>
            </w:r>
          </w:p>
        </w:tc>
      </w:tr>
      <w:tr w14:paraId="7CE92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707" w:type="dxa"/>
            <w:vMerge w:val="continue"/>
          </w:tcPr>
          <w:p w14:paraId="5AA49BFC"/>
        </w:tc>
        <w:tc>
          <w:tcPr>
            <w:tcW w:w="1292" w:type="dxa"/>
            <w:vMerge w:val="continue"/>
          </w:tcPr>
          <w:p w14:paraId="27CB7614"/>
        </w:tc>
        <w:tc>
          <w:tcPr>
            <w:tcW w:w="6875" w:type="dxa"/>
          </w:tcPr>
          <w:p w14:paraId="2A7E5E52">
            <w:pPr>
              <w:spacing w:line="360" w:lineRule="auto"/>
              <w:rPr>
                <w:rFonts w:hint="eastAsia" w:ascii="宋体" w:eastAsia="宋体" w:cs="宋体"/>
                <w:kern w:val="0"/>
                <w:sz w:val="21"/>
                <w:szCs w:val="21"/>
              </w:rPr>
            </w:pPr>
            <w:r>
              <w:rPr>
                <w:rFonts w:hint="eastAsia" w:ascii="宋体" w:eastAsia="宋体" w:cs="宋体"/>
                <w:kern w:val="0"/>
                <w:sz w:val="21"/>
                <w:szCs w:val="21"/>
              </w:rPr>
              <w:t>6.通风系统</w:t>
            </w:r>
          </w:p>
          <w:p w14:paraId="7D8EF533">
            <w:pPr>
              <w:spacing w:line="360" w:lineRule="auto"/>
              <w:rPr>
                <w:rFonts w:hint="eastAsia" w:ascii="宋体" w:eastAsia="宋体" w:cs="宋体"/>
                <w:sz w:val="21"/>
                <w:szCs w:val="21"/>
              </w:rPr>
            </w:pPr>
            <w:r>
              <w:rPr>
                <w:rFonts w:hint="eastAsia" w:ascii="宋体" w:eastAsia="宋体" w:cs="宋体"/>
                <w:kern w:val="0"/>
                <w:sz w:val="21"/>
                <w:szCs w:val="21"/>
              </w:rPr>
              <w:t>汽油箱舱内采用自然通风系统，由一个自然进出风口与风道组成。</w:t>
            </w:r>
          </w:p>
        </w:tc>
      </w:tr>
      <w:tr w14:paraId="58132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707" w:type="dxa"/>
            <w:vMerge w:val="continue"/>
          </w:tcPr>
          <w:p w14:paraId="24FBBCBE"/>
        </w:tc>
        <w:tc>
          <w:tcPr>
            <w:tcW w:w="1292" w:type="dxa"/>
            <w:vMerge w:val="continue"/>
          </w:tcPr>
          <w:p w14:paraId="775FEA76"/>
        </w:tc>
        <w:tc>
          <w:tcPr>
            <w:tcW w:w="6875" w:type="dxa"/>
          </w:tcPr>
          <w:p w14:paraId="7E067FC7">
            <w:pPr>
              <w:spacing w:line="360" w:lineRule="auto"/>
              <w:rPr>
                <w:rFonts w:hint="eastAsia" w:ascii="宋体" w:eastAsia="宋体" w:cs="宋体"/>
                <w:kern w:val="0"/>
                <w:sz w:val="21"/>
                <w:szCs w:val="21"/>
              </w:rPr>
            </w:pPr>
            <w:r>
              <w:rPr>
                <w:rFonts w:hint="eastAsia" w:ascii="宋体" w:eastAsia="宋体" w:cs="宋体"/>
                <w:kern w:val="0"/>
                <w:sz w:val="21"/>
                <w:szCs w:val="21"/>
              </w:rPr>
              <w:t>7、全</w:t>
            </w:r>
            <w:r>
              <w:rPr>
                <w:rFonts w:hint="eastAsia" w:ascii="宋体" w:cs="宋体"/>
                <w:kern w:val="0"/>
                <w:sz w:val="21"/>
                <w:szCs w:val="21"/>
                <w:highlight w:val="none"/>
                <w:lang w:val="en-US" w:eastAsia="zh-CN"/>
              </w:rPr>
              <w:t>艇</w:t>
            </w:r>
            <w:r>
              <w:rPr>
                <w:rFonts w:hint="eastAsia" w:ascii="宋体" w:eastAsia="宋体" w:cs="宋体"/>
                <w:kern w:val="0"/>
                <w:sz w:val="21"/>
                <w:szCs w:val="21"/>
              </w:rPr>
              <w:t>空气及测量系统</w:t>
            </w:r>
          </w:p>
          <w:p w14:paraId="25C7CE15">
            <w:pPr>
              <w:spacing w:line="360" w:lineRule="auto"/>
              <w:rPr>
                <w:rFonts w:hint="eastAsia" w:ascii="宋体" w:eastAsia="宋体" w:cs="宋体"/>
                <w:sz w:val="21"/>
                <w:szCs w:val="21"/>
              </w:rPr>
            </w:pPr>
            <w:r>
              <w:rPr>
                <w:rFonts w:hint="eastAsia" w:ascii="宋体" w:cs="宋体"/>
                <w:kern w:val="0"/>
                <w:sz w:val="21"/>
                <w:szCs w:val="21"/>
                <w:highlight w:val="none"/>
                <w:lang w:val="en-US" w:eastAsia="zh-CN"/>
              </w:rPr>
              <w:t>公务艇</w:t>
            </w:r>
            <w:r>
              <w:rPr>
                <w:rFonts w:hint="eastAsia" w:ascii="宋体" w:eastAsia="宋体" w:cs="宋体"/>
                <w:kern w:val="0"/>
                <w:sz w:val="21"/>
                <w:szCs w:val="21"/>
              </w:rPr>
              <w:t>汽油箱设有电感式液位计，可以通过设在驾驶台的油位表知道燃油的消耗情况，</w:t>
            </w:r>
            <w:r>
              <w:rPr>
                <w:rFonts w:hint="eastAsia" w:ascii="宋体" w:cs="宋体"/>
                <w:kern w:val="0"/>
                <w:sz w:val="21"/>
                <w:szCs w:val="21"/>
                <w:highlight w:val="none"/>
                <w:lang w:val="en-US" w:eastAsia="zh-CN"/>
              </w:rPr>
              <w:t>公务艇</w:t>
            </w:r>
            <w:r>
              <w:rPr>
                <w:rFonts w:hint="eastAsia" w:ascii="宋体" w:eastAsia="宋体" w:cs="宋体"/>
                <w:kern w:val="0"/>
                <w:sz w:val="21"/>
                <w:szCs w:val="21"/>
              </w:rPr>
              <w:t>汽油箱设有防爆阻火呼吸阀，保证汽油箱的透气安全。汽油箱透气管的防爆阻火呼吸阀安装在后甲板上。</w:t>
            </w:r>
          </w:p>
        </w:tc>
      </w:tr>
      <w:tr w14:paraId="2A44C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07" w:type="dxa"/>
            <w:vMerge w:val="continue"/>
          </w:tcPr>
          <w:p w14:paraId="44A824D9"/>
        </w:tc>
        <w:tc>
          <w:tcPr>
            <w:tcW w:w="1292" w:type="dxa"/>
            <w:vMerge w:val="continue"/>
          </w:tcPr>
          <w:p w14:paraId="45FFCD4A"/>
        </w:tc>
        <w:tc>
          <w:tcPr>
            <w:tcW w:w="6875" w:type="dxa"/>
          </w:tcPr>
          <w:p w14:paraId="6F5D3579">
            <w:pPr>
              <w:spacing w:line="360" w:lineRule="auto"/>
              <w:rPr>
                <w:rFonts w:hint="eastAsia" w:ascii="宋体" w:eastAsia="宋体" w:cs="宋体"/>
                <w:kern w:val="0"/>
                <w:sz w:val="21"/>
                <w:szCs w:val="21"/>
              </w:rPr>
            </w:pPr>
            <w:r>
              <w:rPr>
                <w:rFonts w:hint="eastAsia" w:ascii="宋体" w:eastAsia="宋体" w:cs="宋体"/>
                <w:kern w:val="0"/>
                <w:sz w:val="21"/>
                <w:szCs w:val="21"/>
              </w:rPr>
              <w:t>8.防污染</w:t>
            </w:r>
          </w:p>
          <w:p w14:paraId="256B4B76">
            <w:pPr>
              <w:spacing w:line="360" w:lineRule="auto"/>
              <w:rPr>
                <w:rFonts w:hint="eastAsia" w:ascii="宋体" w:eastAsia="宋体" w:cs="宋体"/>
                <w:sz w:val="21"/>
                <w:szCs w:val="21"/>
              </w:rPr>
            </w:pPr>
            <w:r>
              <w:rPr>
                <w:rFonts w:hint="eastAsia" w:ascii="宋体" w:cs="宋体"/>
                <w:kern w:val="0"/>
                <w:sz w:val="21"/>
                <w:szCs w:val="21"/>
                <w:highlight w:val="none"/>
                <w:lang w:val="en-US" w:eastAsia="zh-CN"/>
              </w:rPr>
              <w:t>公务艇</w:t>
            </w:r>
            <w:r>
              <w:rPr>
                <w:rFonts w:hint="eastAsia" w:ascii="宋体" w:eastAsia="宋体" w:cs="宋体"/>
                <w:kern w:val="0"/>
                <w:sz w:val="21"/>
                <w:szCs w:val="21"/>
              </w:rPr>
              <w:t>所用主机为外舷外挂机，其所用燃料为汽油，汽油的特性具有挥发性。不会对水造成污染。</w:t>
            </w:r>
          </w:p>
        </w:tc>
      </w:tr>
      <w:tr w14:paraId="2E7EC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07" w:type="dxa"/>
            <w:vMerge w:val="continue"/>
          </w:tcPr>
          <w:p w14:paraId="48B5051C"/>
        </w:tc>
        <w:tc>
          <w:tcPr>
            <w:tcW w:w="1292" w:type="dxa"/>
            <w:vMerge w:val="continue"/>
          </w:tcPr>
          <w:p w14:paraId="7B9A55C1"/>
        </w:tc>
        <w:tc>
          <w:tcPr>
            <w:tcW w:w="6875" w:type="dxa"/>
          </w:tcPr>
          <w:p w14:paraId="0F5BA066">
            <w:pPr>
              <w:spacing w:line="360" w:lineRule="auto"/>
              <w:rPr>
                <w:rFonts w:hint="eastAsia"/>
                <w:lang w:eastAsia="zh-CN"/>
              </w:rPr>
            </w:pPr>
            <w:r>
              <w:rPr>
                <w:rFonts w:hint="eastAsia"/>
                <w:lang w:eastAsia="zh-CN"/>
              </w:rPr>
              <w:t>9.垃圾收集系统</w:t>
            </w:r>
          </w:p>
          <w:p w14:paraId="56F42B44">
            <w:pPr>
              <w:spacing w:line="360" w:lineRule="auto"/>
              <w:rPr>
                <w:rFonts w:hint="eastAsia" w:ascii="宋体" w:eastAsia="宋体" w:cs="宋体"/>
                <w:sz w:val="21"/>
                <w:szCs w:val="21"/>
              </w:rPr>
            </w:pPr>
            <w:r>
              <w:rPr>
                <w:rFonts w:hint="eastAsia"/>
                <w:lang w:eastAsia="zh-CN"/>
              </w:rPr>
              <w:t>按规范要求，</w:t>
            </w:r>
            <w:r>
              <w:rPr>
                <w:rFonts w:hint="eastAsia"/>
                <w:lang w:val="en-US" w:eastAsia="zh-CN"/>
              </w:rPr>
              <w:t>公务艇</w:t>
            </w:r>
            <w:r>
              <w:rPr>
                <w:rFonts w:hint="eastAsia"/>
                <w:lang w:eastAsia="zh-CN"/>
              </w:rPr>
              <w:t>上设置1个10L垃圾桶，总容量10L；并配置了一块“请勿将垃圾或其他物品投入水中”中英文告示牌。主要用于收集船舶航行时的日常垃圾，待船舶靠岸时再作回收处理。</w:t>
            </w:r>
          </w:p>
        </w:tc>
      </w:tr>
      <w:tr w14:paraId="3D807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07" w:type="dxa"/>
            <w:vMerge w:val="continue"/>
          </w:tcPr>
          <w:p w14:paraId="0E2D0C43"/>
        </w:tc>
        <w:tc>
          <w:tcPr>
            <w:tcW w:w="1292" w:type="dxa"/>
            <w:vMerge w:val="continue"/>
          </w:tcPr>
          <w:p w14:paraId="48F8913D"/>
        </w:tc>
        <w:tc>
          <w:tcPr>
            <w:tcW w:w="6875" w:type="dxa"/>
          </w:tcPr>
          <w:p w14:paraId="536071AD">
            <w:pPr>
              <w:spacing w:line="360" w:lineRule="auto"/>
              <w:rPr>
                <w:rFonts w:hint="eastAsia" w:ascii="宋体" w:eastAsia="宋体" w:cs="宋体"/>
                <w:sz w:val="21"/>
                <w:szCs w:val="21"/>
              </w:rPr>
            </w:pPr>
            <w:r>
              <w:rPr>
                <w:rFonts w:hint="eastAsia" w:ascii="宋体" w:eastAsia="宋体" w:cs="宋体"/>
                <w:sz w:val="21"/>
                <w:szCs w:val="21"/>
              </w:rPr>
              <w:t>（三）、电气部分</w:t>
            </w:r>
          </w:p>
          <w:p w14:paraId="46432890">
            <w:pPr>
              <w:spacing w:line="360" w:lineRule="auto"/>
              <w:rPr>
                <w:rFonts w:hint="eastAsia" w:ascii="宋体" w:eastAsia="宋体" w:cs="宋体"/>
                <w:sz w:val="21"/>
                <w:szCs w:val="21"/>
              </w:rPr>
            </w:pPr>
            <w:r>
              <w:rPr>
                <w:rFonts w:hint="eastAsia" w:ascii="宋体" w:eastAsia="宋体" w:cs="宋体"/>
                <w:sz w:val="21"/>
                <w:szCs w:val="21"/>
              </w:rPr>
              <w:t>1、</w:t>
            </w:r>
            <w:r>
              <w:rPr>
                <w:rFonts w:hint="eastAsia" w:ascii="宋体" w:cs="宋体"/>
                <w:sz w:val="21"/>
                <w:szCs w:val="21"/>
                <w:lang w:val="en-US" w:eastAsia="zh-CN"/>
              </w:rPr>
              <w:t>设计要求</w:t>
            </w:r>
          </w:p>
          <w:p w14:paraId="4635C337">
            <w:pPr>
              <w:spacing w:line="360" w:lineRule="auto"/>
              <w:rPr>
                <w:rFonts w:hint="eastAsia" w:ascii="宋体" w:eastAsia="宋体" w:cs="宋体"/>
                <w:sz w:val="21"/>
                <w:szCs w:val="21"/>
              </w:rPr>
            </w:pPr>
            <w:r>
              <w:rPr>
                <w:rFonts w:hint="eastAsia" w:ascii="宋体" w:cs="宋体"/>
                <w:kern w:val="0"/>
                <w:sz w:val="21"/>
                <w:szCs w:val="21"/>
                <w:highlight w:val="none"/>
                <w:lang w:val="en-US" w:eastAsia="zh-CN"/>
              </w:rPr>
              <w:t>公务艇</w:t>
            </w:r>
            <w:r>
              <w:rPr>
                <w:rFonts w:hint="eastAsia" w:ascii="宋体" w:eastAsia="宋体" w:cs="宋体"/>
                <w:sz w:val="21"/>
                <w:szCs w:val="21"/>
              </w:rPr>
              <w:t>设计以《国内航行小型海船技术规则》（2024年）、《公务船技术规则》（2020）规定及船舶电气设计手册为依据。航区：沿海平静水域。</w:t>
            </w:r>
          </w:p>
        </w:tc>
      </w:tr>
      <w:tr w14:paraId="6E55C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07" w:type="dxa"/>
            <w:vMerge w:val="continue"/>
          </w:tcPr>
          <w:p w14:paraId="0F96DB60"/>
        </w:tc>
        <w:tc>
          <w:tcPr>
            <w:tcW w:w="1292" w:type="dxa"/>
            <w:vMerge w:val="continue"/>
          </w:tcPr>
          <w:p w14:paraId="67677736"/>
        </w:tc>
        <w:tc>
          <w:tcPr>
            <w:tcW w:w="6875" w:type="dxa"/>
          </w:tcPr>
          <w:p w14:paraId="1E63889E">
            <w:pPr>
              <w:spacing w:line="360" w:lineRule="auto"/>
              <w:rPr>
                <w:rFonts w:hint="eastAsia" w:ascii="宋体" w:cs="宋体"/>
                <w:b w:val="0"/>
                <w:bCs w:val="0"/>
                <w:kern w:val="0"/>
                <w:sz w:val="21"/>
                <w:szCs w:val="21"/>
                <w:highlight w:val="none"/>
                <w:lang w:val="en-US" w:eastAsia="zh-CN"/>
              </w:rPr>
            </w:pPr>
            <w:r>
              <w:rPr>
                <w:rFonts w:hint="eastAsia" w:ascii="宋体" w:cs="宋体"/>
                <w:b w:val="0"/>
                <w:bCs w:val="0"/>
                <w:kern w:val="0"/>
                <w:sz w:val="21"/>
                <w:szCs w:val="21"/>
                <w:highlight w:val="none"/>
                <w:lang w:val="en-US" w:eastAsia="zh-CN"/>
              </w:rPr>
              <w:t>2、电源设备</w:t>
            </w:r>
          </w:p>
          <w:p w14:paraId="346AA127">
            <w:pPr>
              <w:spacing w:line="360" w:lineRule="auto"/>
              <w:rPr>
                <w:rFonts w:hint="eastAsia" w:ascii="宋体" w:cs="宋体"/>
                <w:b w:val="0"/>
                <w:bCs w:val="0"/>
                <w:kern w:val="0"/>
                <w:sz w:val="21"/>
                <w:szCs w:val="21"/>
                <w:highlight w:val="none"/>
                <w:lang w:val="en-US" w:eastAsia="zh-CN"/>
              </w:rPr>
            </w:pPr>
            <w:r>
              <w:rPr>
                <w:rFonts w:hint="eastAsia" w:ascii="宋体" w:cs="宋体"/>
                <w:b w:val="0"/>
                <w:bCs w:val="0"/>
                <w:kern w:val="0"/>
                <w:sz w:val="21"/>
                <w:szCs w:val="21"/>
                <w:highlight w:val="none"/>
                <w:lang w:val="en-US" w:eastAsia="zh-CN"/>
              </w:rPr>
              <w:t>（1）蓄电池组：配备不低于2块蓄电池，供主机启动用电。当启动完成且正常运转时，可自行对所有蓄电池组进行充电。按要求进行设计匹配，满足要求即可。</w:t>
            </w:r>
          </w:p>
          <w:p w14:paraId="3C1F2148">
            <w:pPr>
              <w:spacing w:line="360" w:lineRule="auto"/>
              <w:rPr>
                <w:rFonts w:hint="eastAsia" w:ascii="宋体" w:cs="宋体"/>
                <w:b w:val="0"/>
                <w:bCs w:val="0"/>
                <w:kern w:val="0"/>
                <w:sz w:val="21"/>
                <w:szCs w:val="21"/>
                <w:highlight w:val="none"/>
                <w:lang w:val="en-US" w:eastAsia="zh-CN"/>
              </w:rPr>
            </w:pPr>
            <w:r>
              <w:rPr>
                <w:rFonts w:hint="eastAsia" w:ascii="宋体" w:cs="宋体"/>
                <w:b w:val="0"/>
                <w:bCs w:val="0"/>
                <w:kern w:val="0"/>
                <w:sz w:val="21"/>
                <w:szCs w:val="21"/>
                <w:highlight w:val="none"/>
                <w:lang w:val="en-US" w:eastAsia="zh-CN"/>
              </w:rPr>
              <w:t xml:space="preserve">（2）充电机 </w:t>
            </w:r>
          </w:p>
          <w:p w14:paraId="12BBDE89">
            <w:pPr>
              <w:spacing w:line="360" w:lineRule="auto"/>
              <w:rPr>
                <w:rFonts w:hint="eastAsia" w:ascii="宋体" w:cs="宋体"/>
                <w:b w:val="0"/>
                <w:bCs w:val="0"/>
                <w:kern w:val="0"/>
                <w:sz w:val="21"/>
                <w:szCs w:val="21"/>
                <w:highlight w:val="none"/>
                <w:lang w:val="en-US" w:eastAsia="zh-CN"/>
              </w:rPr>
            </w:pPr>
            <w:r>
              <w:rPr>
                <w:rFonts w:hint="eastAsia" w:ascii="宋体" w:cs="宋体"/>
                <w:b w:val="0"/>
                <w:bCs w:val="0"/>
                <w:kern w:val="0"/>
                <w:sz w:val="21"/>
                <w:szCs w:val="21"/>
                <w:highlight w:val="none"/>
                <w:lang w:val="en-US" w:eastAsia="zh-CN"/>
              </w:rPr>
              <w:t>公务艇电机一台，船舶靠岸时给全船蓄电池组充电。</w:t>
            </w:r>
          </w:p>
          <w:p w14:paraId="6900B513">
            <w:pPr>
              <w:spacing w:line="360" w:lineRule="auto"/>
              <w:rPr>
                <w:rFonts w:hint="eastAsia" w:ascii="宋体" w:cs="宋体"/>
                <w:b w:val="0"/>
                <w:bCs w:val="0"/>
                <w:kern w:val="0"/>
                <w:sz w:val="21"/>
                <w:szCs w:val="21"/>
                <w:highlight w:val="none"/>
                <w:lang w:val="en-US" w:eastAsia="zh-CN"/>
              </w:rPr>
            </w:pPr>
            <w:r>
              <w:rPr>
                <w:rFonts w:hint="eastAsia" w:ascii="宋体" w:cs="宋体"/>
                <w:b w:val="0"/>
                <w:bCs w:val="0"/>
                <w:kern w:val="0"/>
                <w:sz w:val="21"/>
                <w:szCs w:val="21"/>
                <w:highlight w:val="none"/>
                <w:lang w:val="en-US" w:eastAsia="zh-CN"/>
              </w:rPr>
              <w:t>（3）岸电</w:t>
            </w:r>
          </w:p>
          <w:p w14:paraId="49D672A2">
            <w:pPr>
              <w:spacing w:line="360" w:lineRule="auto"/>
              <w:rPr>
                <w:rFonts w:hint="eastAsia" w:ascii="宋体" w:eastAsia="宋体" w:cs="宋体"/>
                <w:sz w:val="21"/>
                <w:szCs w:val="21"/>
              </w:rPr>
            </w:pPr>
            <w:r>
              <w:rPr>
                <w:rFonts w:hint="eastAsia" w:ascii="宋体" w:cs="宋体"/>
                <w:b w:val="0"/>
                <w:bCs w:val="0"/>
                <w:kern w:val="0"/>
                <w:sz w:val="21"/>
                <w:szCs w:val="21"/>
                <w:highlight w:val="none"/>
                <w:lang w:val="en-US" w:eastAsia="zh-CN"/>
              </w:rPr>
              <w:t>公务艇配备岸电插座插头一套（配</w:t>
            </w:r>
            <w:r>
              <w:rPr>
                <w:rFonts w:hint="eastAsia"/>
                <w:b w:val="0"/>
                <w:bCs w:val="0"/>
                <w:lang w:val="en-US" w:eastAsia="zh-CN"/>
              </w:rPr>
              <w:t>≥</w:t>
            </w:r>
            <w:r>
              <w:rPr>
                <w:rFonts w:hint="eastAsia" w:ascii="宋体" w:cs="宋体"/>
                <w:b w:val="0"/>
                <w:bCs w:val="0"/>
                <w:kern w:val="0"/>
                <w:sz w:val="21"/>
                <w:szCs w:val="21"/>
                <w:highlight w:val="none"/>
                <w:lang w:val="en-US" w:eastAsia="zh-CN"/>
              </w:rPr>
              <w:t>35米岸电线），艇靠岸时从岸电插座入AC220V电源通过充电机给蓄电池组充电。</w:t>
            </w:r>
          </w:p>
        </w:tc>
      </w:tr>
      <w:tr w14:paraId="6578C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07" w:type="dxa"/>
            <w:vMerge w:val="continue"/>
          </w:tcPr>
          <w:p w14:paraId="510EA7D0"/>
        </w:tc>
        <w:tc>
          <w:tcPr>
            <w:tcW w:w="1292" w:type="dxa"/>
            <w:vMerge w:val="continue"/>
          </w:tcPr>
          <w:p w14:paraId="46E3BBAC"/>
        </w:tc>
        <w:tc>
          <w:tcPr>
            <w:tcW w:w="6875" w:type="dxa"/>
          </w:tcPr>
          <w:p w14:paraId="69855307">
            <w:pPr>
              <w:spacing w:line="360" w:lineRule="auto"/>
              <w:rPr>
                <w:rFonts w:hint="eastAsia" w:ascii="宋体" w:eastAsia="宋体" w:cs="宋体"/>
                <w:sz w:val="21"/>
                <w:szCs w:val="21"/>
              </w:rPr>
            </w:pPr>
            <w:r>
              <w:rPr>
                <w:rFonts w:hint="eastAsia" w:ascii="宋体" w:eastAsia="宋体" w:cs="宋体"/>
                <w:sz w:val="21"/>
                <w:szCs w:val="21"/>
              </w:rPr>
              <w:t>3、配电</w:t>
            </w:r>
          </w:p>
          <w:p w14:paraId="6723A9A4">
            <w:pPr>
              <w:spacing w:line="360" w:lineRule="auto"/>
              <w:rPr>
                <w:rFonts w:hint="eastAsia" w:ascii="宋体" w:eastAsia="宋体" w:cs="宋体"/>
                <w:sz w:val="21"/>
                <w:szCs w:val="21"/>
              </w:rPr>
            </w:pPr>
            <w:r>
              <w:rPr>
                <w:rFonts w:hint="eastAsia" w:ascii="宋体" w:eastAsia="宋体" w:cs="宋体"/>
                <w:sz w:val="21"/>
                <w:szCs w:val="21"/>
              </w:rPr>
              <w:t>（1）</w:t>
            </w:r>
            <w:r>
              <w:rPr>
                <w:rFonts w:hint="eastAsia" w:ascii="宋体" w:cs="宋体"/>
                <w:kern w:val="0"/>
                <w:sz w:val="21"/>
                <w:szCs w:val="21"/>
                <w:highlight w:val="none"/>
                <w:lang w:val="en-US" w:eastAsia="zh-CN"/>
              </w:rPr>
              <w:t>公务艇</w:t>
            </w:r>
            <w:r>
              <w:rPr>
                <w:rFonts w:hint="eastAsia"/>
                <w:lang w:eastAsia="zh-CN"/>
              </w:rPr>
              <w:t>配备</w:t>
            </w:r>
            <w:r>
              <w:rPr>
                <w:rFonts w:hint="eastAsia" w:ascii="宋体" w:eastAsia="宋体" w:cs="宋体"/>
                <w:sz w:val="21"/>
                <w:szCs w:val="21"/>
              </w:rPr>
              <w:t>电系统采用DC12V双线绝缘系统。</w:t>
            </w:r>
          </w:p>
          <w:p w14:paraId="5865B4EE">
            <w:pPr>
              <w:spacing w:line="360" w:lineRule="auto"/>
              <w:rPr>
                <w:rFonts w:hint="eastAsia" w:ascii="宋体" w:eastAsia="宋体" w:cs="宋体"/>
                <w:sz w:val="21"/>
                <w:szCs w:val="21"/>
              </w:rPr>
            </w:pPr>
            <w:r>
              <w:rPr>
                <w:rFonts w:hint="eastAsia" w:ascii="宋体" w:eastAsia="宋体" w:cs="宋体"/>
                <w:sz w:val="21"/>
                <w:szCs w:val="21"/>
              </w:rPr>
              <w:t>（2）</w:t>
            </w:r>
            <w:r>
              <w:rPr>
                <w:rFonts w:hint="eastAsia" w:ascii="宋体" w:cs="宋体"/>
                <w:kern w:val="0"/>
                <w:sz w:val="21"/>
                <w:szCs w:val="21"/>
                <w:highlight w:val="none"/>
                <w:lang w:val="en-US" w:eastAsia="zh-CN"/>
              </w:rPr>
              <w:t>公务艇</w:t>
            </w:r>
            <w:r>
              <w:rPr>
                <w:rFonts w:hint="eastAsia"/>
                <w:lang w:eastAsia="zh-CN"/>
              </w:rPr>
              <w:t>配备</w:t>
            </w:r>
            <w:r>
              <w:rPr>
                <w:rFonts w:hint="eastAsia" w:ascii="宋体" w:eastAsia="宋体" w:cs="宋体"/>
                <w:sz w:val="21"/>
                <w:szCs w:val="21"/>
              </w:rPr>
              <w:t>有1块充放电板，通过断路器或熔断器对各直流用电设备进行控制，并对其进行电气保护。充放电板设有直流电压表、电流表各1块，供电和绝缘指示灯共3个，绝缘检测按钮1个。</w:t>
            </w:r>
          </w:p>
          <w:p w14:paraId="6EE22A51">
            <w:pPr>
              <w:spacing w:line="360" w:lineRule="auto"/>
              <w:rPr>
                <w:rFonts w:hint="eastAsia" w:ascii="宋体" w:eastAsia="宋体" w:cs="宋体"/>
                <w:sz w:val="21"/>
                <w:szCs w:val="21"/>
              </w:rPr>
            </w:pPr>
            <w:r>
              <w:rPr>
                <w:rFonts w:hint="eastAsia" w:ascii="宋体" w:eastAsia="宋体" w:cs="宋体"/>
                <w:sz w:val="21"/>
                <w:szCs w:val="21"/>
              </w:rPr>
              <w:t>（3）在驾驶室内装有1只航行信号灯板（NSB）控制全船的航行信号灯。当发生故障时，发出声光报警，提醒值班人员采取措施排除故障。当故障排除后，声光报警结束，恢复正常。</w:t>
            </w:r>
          </w:p>
        </w:tc>
      </w:tr>
      <w:tr w14:paraId="67D79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07" w:type="dxa"/>
            <w:vMerge w:val="continue"/>
          </w:tcPr>
          <w:p w14:paraId="7687435A"/>
        </w:tc>
        <w:tc>
          <w:tcPr>
            <w:tcW w:w="1292" w:type="dxa"/>
            <w:vMerge w:val="continue"/>
          </w:tcPr>
          <w:p w14:paraId="4D331B9D"/>
        </w:tc>
        <w:tc>
          <w:tcPr>
            <w:tcW w:w="6875" w:type="dxa"/>
          </w:tcPr>
          <w:p w14:paraId="5EB9576E">
            <w:pPr>
              <w:spacing w:line="360" w:lineRule="auto"/>
              <w:rPr>
                <w:rFonts w:hint="eastAsia" w:ascii="宋体" w:eastAsia="宋体" w:cs="宋体"/>
                <w:sz w:val="21"/>
                <w:szCs w:val="21"/>
              </w:rPr>
            </w:pPr>
            <w:r>
              <w:rPr>
                <w:rFonts w:hint="eastAsia" w:ascii="宋体" w:eastAsia="宋体" w:cs="宋体"/>
                <w:sz w:val="21"/>
                <w:szCs w:val="21"/>
              </w:rPr>
              <w:t>4、电力设备</w:t>
            </w:r>
          </w:p>
          <w:p w14:paraId="1CBC120C">
            <w:pPr>
              <w:spacing w:line="360" w:lineRule="auto"/>
              <w:rPr>
                <w:rFonts w:hint="eastAsia" w:ascii="宋体" w:eastAsia="宋体" w:cs="宋体"/>
                <w:sz w:val="21"/>
                <w:szCs w:val="21"/>
              </w:rPr>
            </w:pPr>
            <w:r>
              <w:rPr>
                <w:rFonts w:hint="eastAsia" w:ascii="宋体" w:eastAsia="宋体" w:cs="宋体"/>
                <w:sz w:val="21"/>
                <w:szCs w:val="21"/>
              </w:rPr>
              <w:t>（1）</w:t>
            </w:r>
            <w:r>
              <w:rPr>
                <w:rFonts w:hint="eastAsia" w:ascii="宋体" w:cs="宋体"/>
                <w:kern w:val="0"/>
                <w:sz w:val="21"/>
                <w:szCs w:val="21"/>
                <w:highlight w:val="none"/>
                <w:lang w:val="en-US" w:eastAsia="zh-CN"/>
              </w:rPr>
              <w:t>公务艇</w:t>
            </w:r>
            <w:r>
              <w:rPr>
                <w:rFonts w:hint="eastAsia"/>
                <w:lang w:eastAsia="zh-CN"/>
              </w:rPr>
              <w:t>配备</w:t>
            </w:r>
            <w:r>
              <w:rPr>
                <w:rFonts w:hint="eastAsia" w:ascii="宋体" w:eastAsia="宋体" w:cs="宋体"/>
                <w:sz w:val="21"/>
                <w:szCs w:val="21"/>
              </w:rPr>
              <w:t>有2台电动舱底泵（DC12V）。</w:t>
            </w:r>
          </w:p>
        </w:tc>
      </w:tr>
      <w:tr w14:paraId="6191B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07" w:type="dxa"/>
            <w:vMerge w:val="continue"/>
          </w:tcPr>
          <w:p w14:paraId="073AB3FE"/>
        </w:tc>
        <w:tc>
          <w:tcPr>
            <w:tcW w:w="1292" w:type="dxa"/>
            <w:vMerge w:val="continue"/>
          </w:tcPr>
          <w:p w14:paraId="35EC73BA"/>
        </w:tc>
        <w:tc>
          <w:tcPr>
            <w:tcW w:w="6875" w:type="dxa"/>
          </w:tcPr>
          <w:p w14:paraId="2CC2FD58">
            <w:pPr>
              <w:spacing w:line="360" w:lineRule="auto"/>
              <w:rPr>
                <w:rFonts w:hint="eastAsia" w:ascii="宋体" w:eastAsia="宋体" w:cs="宋体"/>
                <w:sz w:val="21"/>
                <w:szCs w:val="21"/>
              </w:rPr>
            </w:pPr>
            <w:r>
              <w:rPr>
                <w:rFonts w:hint="eastAsia" w:ascii="宋体" w:eastAsia="宋体" w:cs="宋体"/>
                <w:sz w:val="21"/>
                <w:szCs w:val="21"/>
              </w:rPr>
              <w:t>5、照明</w:t>
            </w:r>
          </w:p>
          <w:p w14:paraId="20239241">
            <w:pPr>
              <w:spacing w:line="360" w:lineRule="auto"/>
              <w:rPr>
                <w:rFonts w:hint="eastAsia" w:ascii="宋体" w:eastAsia="宋体" w:cs="宋体"/>
                <w:sz w:val="21"/>
                <w:szCs w:val="21"/>
              </w:rPr>
            </w:pPr>
            <w:r>
              <w:rPr>
                <w:rFonts w:hint="eastAsia" w:ascii="宋体" w:eastAsia="宋体" w:cs="宋体"/>
                <w:sz w:val="21"/>
                <w:szCs w:val="21"/>
              </w:rPr>
              <w:t>（1）在各乘员驾驶舱装有LED天花灯。艉舱装有防水灯。</w:t>
            </w:r>
          </w:p>
          <w:p w14:paraId="54D95AFD">
            <w:pPr>
              <w:spacing w:line="360" w:lineRule="auto"/>
              <w:rPr>
                <w:rFonts w:hint="eastAsia" w:ascii="宋体" w:eastAsia="宋体" w:cs="宋体"/>
                <w:sz w:val="21"/>
                <w:szCs w:val="21"/>
              </w:rPr>
            </w:pPr>
            <w:r>
              <w:rPr>
                <w:rFonts w:hint="eastAsia" w:ascii="宋体" w:eastAsia="宋体" w:cs="宋体"/>
                <w:sz w:val="21"/>
                <w:szCs w:val="21"/>
              </w:rPr>
              <w:t>（2）尾甲板配1盏泛光灯。</w:t>
            </w:r>
          </w:p>
          <w:p w14:paraId="3C5D1A13">
            <w:pPr>
              <w:spacing w:line="360" w:lineRule="auto"/>
              <w:rPr>
                <w:rFonts w:hint="eastAsia" w:ascii="宋体" w:eastAsia="宋体" w:cs="宋体"/>
                <w:sz w:val="21"/>
                <w:szCs w:val="21"/>
              </w:rPr>
            </w:pPr>
            <w:r>
              <w:rPr>
                <w:rFonts w:hint="eastAsia" w:ascii="宋体" w:eastAsia="宋体" w:cs="宋体"/>
                <w:sz w:val="21"/>
                <w:szCs w:val="21"/>
              </w:rPr>
              <w:t>（3）</w:t>
            </w:r>
            <w:r>
              <w:rPr>
                <w:rFonts w:hint="eastAsia" w:ascii="宋体" w:cs="宋体"/>
                <w:kern w:val="0"/>
                <w:sz w:val="21"/>
                <w:szCs w:val="21"/>
                <w:highlight w:val="none"/>
                <w:lang w:val="en-US" w:eastAsia="zh-CN"/>
              </w:rPr>
              <w:t>公务艇</w:t>
            </w:r>
            <w:r>
              <w:rPr>
                <w:rFonts w:hint="eastAsia" w:ascii="宋体" w:eastAsia="宋体" w:cs="宋体"/>
                <w:sz w:val="21"/>
                <w:szCs w:val="21"/>
              </w:rPr>
              <w:t>驾驶室顶设有1只电动遥控探照灯，控制开关设在驾控台。</w:t>
            </w:r>
          </w:p>
        </w:tc>
      </w:tr>
      <w:tr w14:paraId="12C77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07" w:type="dxa"/>
            <w:vMerge w:val="continue"/>
          </w:tcPr>
          <w:p w14:paraId="283B3B58"/>
        </w:tc>
        <w:tc>
          <w:tcPr>
            <w:tcW w:w="1292" w:type="dxa"/>
            <w:vMerge w:val="continue"/>
          </w:tcPr>
          <w:p w14:paraId="1A459D0B"/>
        </w:tc>
        <w:tc>
          <w:tcPr>
            <w:tcW w:w="6875" w:type="dxa"/>
          </w:tcPr>
          <w:p w14:paraId="686C5932">
            <w:pPr>
              <w:spacing w:line="360" w:lineRule="auto"/>
              <w:rPr>
                <w:rFonts w:hint="eastAsia" w:ascii="宋体" w:eastAsia="宋体" w:cs="宋体"/>
                <w:sz w:val="21"/>
                <w:szCs w:val="21"/>
              </w:rPr>
            </w:pPr>
            <w:r>
              <w:rPr>
                <w:rFonts w:hint="eastAsia" w:ascii="宋体" w:eastAsia="宋体" w:cs="宋体"/>
                <w:sz w:val="21"/>
                <w:szCs w:val="21"/>
              </w:rPr>
              <w:t>6、航行信号设备</w:t>
            </w:r>
          </w:p>
          <w:p w14:paraId="2CA85649">
            <w:pPr>
              <w:spacing w:line="360" w:lineRule="auto"/>
              <w:rPr>
                <w:rFonts w:hint="eastAsia" w:ascii="宋体" w:eastAsia="宋体" w:cs="宋体"/>
                <w:sz w:val="21"/>
                <w:szCs w:val="21"/>
              </w:rPr>
            </w:pPr>
            <w:r>
              <w:rPr>
                <w:rFonts w:hint="eastAsia" w:ascii="宋体" w:cs="宋体"/>
                <w:kern w:val="0"/>
                <w:sz w:val="21"/>
                <w:szCs w:val="21"/>
                <w:highlight w:val="none"/>
                <w:lang w:val="en-US" w:eastAsia="zh-CN"/>
              </w:rPr>
              <w:t>公务艇</w:t>
            </w:r>
            <w:r>
              <w:rPr>
                <w:rFonts w:hint="eastAsia" w:ascii="宋体" w:eastAsia="宋体" w:cs="宋体"/>
                <w:sz w:val="21"/>
                <w:szCs w:val="21"/>
              </w:rPr>
              <w:t>航行信号灯按规范要求配置。所有航行信号灯可通过设在驾驶台的航行信号灯板进行控制。航行信号灯板具有故障声光报警功能。</w:t>
            </w:r>
          </w:p>
        </w:tc>
      </w:tr>
      <w:tr w14:paraId="2ABA8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07" w:type="dxa"/>
            <w:vMerge w:val="continue"/>
          </w:tcPr>
          <w:p w14:paraId="08DC2FD2"/>
        </w:tc>
        <w:tc>
          <w:tcPr>
            <w:tcW w:w="1292" w:type="dxa"/>
            <w:vMerge w:val="continue"/>
          </w:tcPr>
          <w:p w14:paraId="4994A531"/>
        </w:tc>
        <w:tc>
          <w:tcPr>
            <w:tcW w:w="6875" w:type="dxa"/>
          </w:tcPr>
          <w:p w14:paraId="1BE4AE58">
            <w:pPr>
              <w:spacing w:line="360" w:lineRule="auto"/>
              <w:rPr>
                <w:rFonts w:hint="eastAsia" w:ascii="宋体" w:eastAsia="宋体" w:cs="宋体"/>
                <w:sz w:val="21"/>
                <w:szCs w:val="21"/>
              </w:rPr>
            </w:pPr>
            <w:r>
              <w:rPr>
                <w:rFonts w:hint="eastAsia" w:ascii="宋体" w:eastAsia="宋体" w:cs="宋体"/>
                <w:sz w:val="21"/>
                <w:szCs w:val="21"/>
              </w:rPr>
              <w:t>7、航行设备</w:t>
            </w:r>
          </w:p>
          <w:p w14:paraId="66FF44CE">
            <w:pPr>
              <w:spacing w:line="360" w:lineRule="auto"/>
              <w:rPr>
                <w:rFonts w:hint="eastAsia" w:ascii="宋体" w:eastAsia="宋体" w:cs="宋体"/>
                <w:sz w:val="21"/>
                <w:szCs w:val="21"/>
              </w:rPr>
            </w:pPr>
            <w:r>
              <w:rPr>
                <w:rFonts w:hint="eastAsia" w:ascii="宋体" w:eastAsia="宋体" w:cs="宋体"/>
                <w:sz w:val="21"/>
                <w:szCs w:val="21"/>
              </w:rPr>
              <w:t>（1）配有1台磁罗经。</w:t>
            </w:r>
          </w:p>
          <w:p w14:paraId="344D6F80">
            <w:pPr>
              <w:spacing w:line="360" w:lineRule="auto"/>
              <w:rPr>
                <w:rFonts w:hint="eastAsia" w:ascii="宋体" w:eastAsia="宋体" w:cs="宋体"/>
                <w:sz w:val="21"/>
                <w:szCs w:val="21"/>
              </w:rPr>
            </w:pPr>
            <w:r>
              <w:rPr>
                <w:rFonts w:hint="eastAsia" w:ascii="宋体" w:eastAsia="宋体" w:cs="宋体"/>
                <w:sz w:val="21"/>
                <w:szCs w:val="21"/>
              </w:rPr>
              <w:t>（2）配有1台多功能导航系统一套，兼测深、GPS、雷达及海图功能，含多功能显示器一台、雷达天线一套、定位仪天线一根、海图卡一张、测深探头一个。</w:t>
            </w:r>
          </w:p>
          <w:p w14:paraId="68B91D77">
            <w:pPr>
              <w:spacing w:line="360" w:lineRule="auto"/>
              <w:rPr>
                <w:rFonts w:hint="eastAsia" w:ascii="宋体" w:eastAsia="宋体" w:cs="宋体"/>
                <w:sz w:val="21"/>
                <w:szCs w:val="21"/>
              </w:rPr>
            </w:pPr>
            <w:r>
              <w:rPr>
                <w:rFonts w:hint="eastAsia" w:ascii="宋体" w:eastAsia="宋体" w:cs="宋体"/>
                <w:sz w:val="21"/>
                <w:szCs w:val="21"/>
              </w:rPr>
              <w:t>（3）配有1套基于北斗B级自动识别系统。</w:t>
            </w:r>
          </w:p>
        </w:tc>
      </w:tr>
      <w:tr w14:paraId="2CC62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07" w:type="dxa"/>
            <w:vMerge w:val="continue"/>
          </w:tcPr>
          <w:p w14:paraId="67814ED9"/>
        </w:tc>
        <w:tc>
          <w:tcPr>
            <w:tcW w:w="1292" w:type="dxa"/>
            <w:vMerge w:val="continue"/>
          </w:tcPr>
          <w:p w14:paraId="19C2021C"/>
        </w:tc>
        <w:tc>
          <w:tcPr>
            <w:tcW w:w="6875" w:type="dxa"/>
          </w:tcPr>
          <w:p w14:paraId="03878F4F">
            <w:pPr>
              <w:spacing w:line="360" w:lineRule="auto"/>
              <w:rPr>
                <w:rFonts w:hint="eastAsia" w:ascii="宋体" w:eastAsia="宋体" w:cs="宋体"/>
                <w:sz w:val="21"/>
                <w:szCs w:val="21"/>
              </w:rPr>
            </w:pPr>
            <w:r>
              <w:rPr>
                <w:rFonts w:hint="eastAsia" w:ascii="宋体" w:eastAsia="宋体" w:cs="宋体"/>
                <w:sz w:val="21"/>
                <w:szCs w:val="21"/>
              </w:rPr>
              <w:t>8</w:t>
            </w:r>
            <w:r>
              <w:rPr>
                <w:rFonts w:hint="eastAsia" w:ascii="宋体" w:cs="宋体"/>
                <w:sz w:val="21"/>
                <w:szCs w:val="21"/>
                <w:lang w:eastAsia="zh-CN"/>
              </w:rPr>
              <w:t>、</w:t>
            </w:r>
            <w:r>
              <w:rPr>
                <w:rFonts w:hint="eastAsia" w:ascii="宋体" w:eastAsia="宋体" w:cs="宋体"/>
                <w:sz w:val="21"/>
                <w:szCs w:val="21"/>
              </w:rPr>
              <w:t>无线电通信设备</w:t>
            </w:r>
          </w:p>
          <w:p w14:paraId="6B0B0DBB">
            <w:pPr>
              <w:spacing w:line="360" w:lineRule="auto"/>
              <w:rPr>
                <w:rFonts w:hint="eastAsia" w:ascii="宋体" w:eastAsia="宋体" w:cs="宋体"/>
                <w:sz w:val="21"/>
                <w:szCs w:val="21"/>
              </w:rPr>
            </w:pPr>
            <w:r>
              <w:rPr>
                <w:rFonts w:hint="eastAsia" w:ascii="宋体" w:eastAsia="宋体" w:cs="宋体"/>
                <w:sz w:val="21"/>
                <w:szCs w:val="21"/>
              </w:rPr>
              <w:t>（1）配有1套甚高频电话，带DSC功能。</w:t>
            </w:r>
          </w:p>
          <w:p w14:paraId="49C010C8">
            <w:pPr>
              <w:spacing w:line="360" w:lineRule="auto"/>
              <w:rPr>
                <w:rFonts w:hint="eastAsia" w:ascii="宋体" w:eastAsia="宋体" w:cs="宋体"/>
                <w:sz w:val="21"/>
                <w:szCs w:val="21"/>
              </w:rPr>
            </w:pPr>
            <w:r>
              <w:rPr>
                <w:rFonts w:hint="eastAsia" w:ascii="宋体" w:eastAsia="宋体" w:cs="宋体"/>
                <w:sz w:val="21"/>
                <w:szCs w:val="21"/>
              </w:rPr>
              <w:t>（2）配有1台便携式甚高频电话。</w:t>
            </w:r>
          </w:p>
          <w:p w14:paraId="0B3A8DBE">
            <w:pPr>
              <w:spacing w:line="360" w:lineRule="auto"/>
              <w:rPr>
                <w:rFonts w:hint="eastAsia" w:ascii="宋体" w:eastAsia="宋体" w:cs="宋体"/>
                <w:sz w:val="21"/>
                <w:szCs w:val="21"/>
              </w:rPr>
            </w:pPr>
            <w:r>
              <w:rPr>
                <w:rFonts w:hint="eastAsia" w:ascii="宋体" w:eastAsia="宋体" w:cs="宋体"/>
                <w:sz w:val="21"/>
                <w:szCs w:val="21"/>
              </w:rPr>
              <w:t>（3）配有1台雷达应答器。</w:t>
            </w:r>
          </w:p>
          <w:p w14:paraId="776923D7">
            <w:pPr>
              <w:spacing w:line="360" w:lineRule="auto"/>
              <w:rPr>
                <w:rFonts w:hint="eastAsia" w:ascii="宋体" w:eastAsia="宋体" w:cs="宋体"/>
                <w:sz w:val="21"/>
                <w:szCs w:val="21"/>
              </w:rPr>
            </w:pPr>
            <w:r>
              <w:rPr>
                <w:rFonts w:hint="eastAsia" w:ascii="宋体" w:eastAsia="宋体" w:cs="宋体"/>
                <w:sz w:val="21"/>
                <w:szCs w:val="21"/>
              </w:rPr>
              <w:t>（4）配有1台双向甚高频电话。</w:t>
            </w:r>
          </w:p>
        </w:tc>
      </w:tr>
      <w:tr w14:paraId="75093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707" w:type="dxa"/>
            <w:vMerge w:val="continue"/>
          </w:tcPr>
          <w:p w14:paraId="43E8E340"/>
        </w:tc>
        <w:tc>
          <w:tcPr>
            <w:tcW w:w="1292" w:type="dxa"/>
            <w:vMerge w:val="continue"/>
          </w:tcPr>
          <w:p w14:paraId="3B0994C7"/>
        </w:tc>
        <w:tc>
          <w:tcPr>
            <w:tcW w:w="6875" w:type="dxa"/>
          </w:tcPr>
          <w:p w14:paraId="4981FF0D">
            <w:pPr>
              <w:spacing w:line="360" w:lineRule="auto"/>
              <w:rPr>
                <w:rFonts w:hint="eastAsia" w:ascii="宋体" w:eastAsia="宋体" w:cs="宋体"/>
                <w:sz w:val="21"/>
                <w:szCs w:val="21"/>
              </w:rPr>
            </w:pPr>
            <w:r>
              <w:rPr>
                <w:rFonts w:hint="eastAsia" w:ascii="宋体" w:eastAsia="宋体" w:cs="宋体"/>
                <w:sz w:val="21"/>
                <w:szCs w:val="21"/>
              </w:rPr>
              <w:t>9</w:t>
            </w:r>
            <w:r>
              <w:rPr>
                <w:rFonts w:hint="eastAsia" w:ascii="宋体" w:cs="宋体"/>
                <w:sz w:val="21"/>
                <w:szCs w:val="21"/>
                <w:lang w:eastAsia="zh-CN"/>
              </w:rPr>
              <w:t>、</w:t>
            </w:r>
            <w:r>
              <w:rPr>
                <w:rFonts w:hint="eastAsia" w:ascii="宋体" w:eastAsia="宋体" w:cs="宋体"/>
                <w:sz w:val="21"/>
                <w:szCs w:val="21"/>
              </w:rPr>
              <w:t>船内通信和报警设备</w:t>
            </w:r>
          </w:p>
          <w:p w14:paraId="0654BD45">
            <w:pPr>
              <w:spacing w:line="360" w:lineRule="auto"/>
              <w:rPr>
                <w:rFonts w:hint="eastAsia" w:ascii="宋体" w:eastAsia="宋体" w:cs="宋体"/>
                <w:sz w:val="21"/>
                <w:szCs w:val="21"/>
              </w:rPr>
            </w:pPr>
            <w:r>
              <w:rPr>
                <w:rFonts w:hint="eastAsia" w:ascii="宋体" w:eastAsia="宋体" w:cs="宋体"/>
                <w:sz w:val="21"/>
                <w:szCs w:val="21"/>
              </w:rPr>
              <w:t xml:space="preserve">（1） </w:t>
            </w:r>
            <w:r>
              <w:rPr>
                <w:rFonts w:hint="eastAsia" w:ascii="宋体" w:cs="宋体"/>
                <w:kern w:val="0"/>
                <w:sz w:val="21"/>
                <w:szCs w:val="21"/>
                <w:highlight w:val="none"/>
                <w:lang w:val="en-US" w:eastAsia="zh-CN"/>
              </w:rPr>
              <w:t>公务艇</w:t>
            </w:r>
            <w:r>
              <w:rPr>
                <w:rFonts w:hint="eastAsia" w:ascii="宋体" w:eastAsia="宋体" w:cs="宋体"/>
                <w:sz w:val="21"/>
                <w:szCs w:val="21"/>
              </w:rPr>
              <w:t>在驾驶室底水报警装置1套，并在艉舱及艏尖舱设有高水位报警浮子开关。</w:t>
            </w:r>
          </w:p>
          <w:p w14:paraId="1C6E9E03">
            <w:pPr>
              <w:spacing w:line="360" w:lineRule="auto"/>
              <w:rPr>
                <w:rFonts w:hint="eastAsia" w:ascii="宋体" w:eastAsia="宋体" w:cs="宋体"/>
                <w:sz w:val="21"/>
                <w:szCs w:val="21"/>
              </w:rPr>
            </w:pPr>
            <w:r>
              <w:rPr>
                <w:rFonts w:hint="eastAsia" w:ascii="宋体" w:eastAsia="宋体" w:cs="宋体"/>
                <w:sz w:val="21"/>
                <w:szCs w:val="21"/>
              </w:rPr>
              <w:t>（2）</w:t>
            </w:r>
            <w:r>
              <w:rPr>
                <w:rFonts w:hint="eastAsia" w:ascii="宋体" w:cs="宋体"/>
                <w:kern w:val="0"/>
                <w:sz w:val="21"/>
                <w:szCs w:val="21"/>
                <w:highlight w:val="none"/>
                <w:lang w:val="en-US" w:eastAsia="zh-CN"/>
              </w:rPr>
              <w:t>公务艇</w:t>
            </w:r>
            <w:r>
              <w:rPr>
                <w:rFonts w:hint="eastAsia" w:ascii="宋体" w:eastAsia="宋体" w:cs="宋体"/>
                <w:sz w:val="21"/>
                <w:szCs w:val="21"/>
              </w:rPr>
              <w:t>在驾驶室前部设雨刮2套，带喷水装置，控制器在驾控台。</w:t>
            </w:r>
          </w:p>
          <w:p w14:paraId="446C7680">
            <w:pPr>
              <w:spacing w:line="360" w:lineRule="auto"/>
              <w:rPr>
                <w:rFonts w:hint="eastAsia" w:ascii="宋体" w:eastAsia="宋体" w:cs="宋体"/>
                <w:sz w:val="21"/>
                <w:szCs w:val="21"/>
              </w:rPr>
            </w:pPr>
            <w:r>
              <w:rPr>
                <w:rFonts w:hint="eastAsia" w:ascii="宋体" w:eastAsia="宋体" w:cs="宋体"/>
                <w:sz w:val="21"/>
                <w:szCs w:val="21"/>
              </w:rPr>
              <w:t>（3）顶部设电笛1只，由驾控台电笛开关控制。</w:t>
            </w:r>
          </w:p>
        </w:tc>
      </w:tr>
      <w:tr w14:paraId="05F49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707" w:type="dxa"/>
            <w:vMerge w:val="continue"/>
          </w:tcPr>
          <w:p w14:paraId="49185B47"/>
        </w:tc>
        <w:tc>
          <w:tcPr>
            <w:tcW w:w="1292" w:type="dxa"/>
            <w:vMerge w:val="continue"/>
          </w:tcPr>
          <w:p w14:paraId="4D9B8395"/>
        </w:tc>
        <w:tc>
          <w:tcPr>
            <w:tcW w:w="6875" w:type="dxa"/>
          </w:tcPr>
          <w:p w14:paraId="4C288D3E">
            <w:pPr>
              <w:spacing w:line="360" w:lineRule="auto"/>
              <w:rPr>
                <w:rFonts w:hint="eastAsia" w:ascii="宋体" w:eastAsia="宋体" w:cs="宋体"/>
                <w:sz w:val="21"/>
                <w:szCs w:val="21"/>
              </w:rPr>
            </w:pPr>
            <w:r>
              <w:rPr>
                <w:rFonts w:hint="eastAsia" w:ascii="宋体" w:eastAsia="宋体" w:cs="宋体"/>
                <w:sz w:val="21"/>
                <w:szCs w:val="21"/>
              </w:rPr>
              <w:t>10</w:t>
            </w:r>
            <w:r>
              <w:rPr>
                <w:rFonts w:hint="eastAsia" w:ascii="宋体" w:cs="宋体"/>
                <w:sz w:val="21"/>
                <w:szCs w:val="21"/>
                <w:lang w:eastAsia="zh-CN"/>
              </w:rPr>
              <w:t>、</w:t>
            </w:r>
            <w:r>
              <w:rPr>
                <w:rFonts w:hint="eastAsia" w:ascii="宋体" w:eastAsia="宋体" w:cs="宋体"/>
                <w:sz w:val="21"/>
                <w:szCs w:val="21"/>
              </w:rPr>
              <w:t>避雷与设备安全接地</w:t>
            </w:r>
          </w:p>
          <w:p w14:paraId="20F47374">
            <w:pPr>
              <w:spacing w:line="360" w:lineRule="auto"/>
              <w:rPr>
                <w:rFonts w:hint="eastAsia" w:ascii="宋体" w:eastAsia="宋体" w:cs="宋体"/>
                <w:sz w:val="21"/>
                <w:szCs w:val="21"/>
              </w:rPr>
            </w:pPr>
            <w:r>
              <w:rPr>
                <w:rFonts w:hint="eastAsia" w:ascii="宋体" w:eastAsia="宋体" w:cs="宋体"/>
                <w:sz w:val="21"/>
                <w:szCs w:val="21"/>
              </w:rPr>
              <w:t>（1）在顶蓬甲板的桅杆顶部安装有一根φ12</w:t>
            </w:r>
            <w:r>
              <w:rPr>
                <w:rFonts w:hint="eastAsia" w:ascii="宋体" w:cs="宋体"/>
                <w:sz w:val="21"/>
                <w:szCs w:val="21"/>
                <w:lang w:val="en-US" w:eastAsia="zh-CN"/>
              </w:rPr>
              <w:t>mm</w:t>
            </w:r>
            <w:r>
              <w:rPr>
                <w:rFonts w:hint="eastAsia" w:ascii="宋体" w:eastAsia="宋体" w:cs="宋体"/>
                <w:sz w:val="21"/>
                <w:szCs w:val="21"/>
              </w:rPr>
              <w:t xml:space="preserve">, L=300mm的铝合金避雷针，横截面不小于8mm²,并高于桅杆灯150mm。通过桅杆与船壳连接。 </w:t>
            </w:r>
          </w:p>
          <w:p w14:paraId="23C61C8F">
            <w:pPr>
              <w:spacing w:line="360" w:lineRule="auto"/>
              <w:rPr>
                <w:rFonts w:hint="eastAsia" w:ascii="宋体" w:eastAsia="宋体" w:cs="宋体"/>
                <w:sz w:val="21"/>
                <w:szCs w:val="21"/>
              </w:rPr>
            </w:pPr>
            <w:r>
              <w:rPr>
                <w:rFonts w:hint="eastAsia" w:ascii="宋体" w:eastAsia="宋体" w:cs="宋体"/>
                <w:sz w:val="21"/>
                <w:szCs w:val="21"/>
              </w:rPr>
              <w:t>（2）油箱、主机、全船栏杆、配电箱等设备均需有效接地。</w:t>
            </w:r>
          </w:p>
        </w:tc>
      </w:tr>
      <w:tr w14:paraId="39F84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07" w:type="dxa"/>
            <w:vMerge w:val="continue"/>
          </w:tcPr>
          <w:p w14:paraId="71C4A873"/>
        </w:tc>
        <w:tc>
          <w:tcPr>
            <w:tcW w:w="1292" w:type="dxa"/>
            <w:vMerge w:val="continue"/>
          </w:tcPr>
          <w:p w14:paraId="45A26D30"/>
        </w:tc>
        <w:tc>
          <w:tcPr>
            <w:tcW w:w="6875" w:type="dxa"/>
          </w:tcPr>
          <w:p w14:paraId="468C31E8">
            <w:pPr>
              <w:spacing w:line="360" w:lineRule="auto"/>
              <w:rPr>
                <w:rFonts w:hint="eastAsia" w:ascii="宋体" w:eastAsia="宋体" w:cs="宋体"/>
                <w:sz w:val="21"/>
                <w:szCs w:val="21"/>
              </w:rPr>
            </w:pPr>
            <w:r>
              <w:rPr>
                <w:rFonts w:hint="eastAsia" w:ascii="宋体" w:eastAsia="宋体" w:cs="宋体"/>
                <w:sz w:val="21"/>
                <w:szCs w:val="21"/>
              </w:rPr>
              <w:t>11</w:t>
            </w:r>
            <w:r>
              <w:rPr>
                <w:rFonts w:hint="eastAsia" w:ascii="宋体" w:cs="宋体"/>
                <w:sz w:val="21"/>
                <w:szCs w:val="21"/>
                <w:lang w:eastAsia="zh-CN"/>
              </w:rPr>
              <w:t>、</w:t>
            </w:r>
            <w:r>
              <w:rPr>
                <w:rFonts w:hint="eastAsia" w:ascii="宋体" w:eastAsia="宋体" w:cs="宋体"/>
                <w:sz w:val="21"/>
                <w:szCs w:val="21"/>
              </w:rPr>
              <w:t>电缆</w:t>
            </w:r>
          </w:p>
          <w:p w14:paraId="611549F3">
            <w:pPr>
              <w:spacing w:line="360" w:lineRule="auto"/>
              <w:rPr>
                <w:rFonts w:hint="eastAsia" w:ascii="宋体" w:eastAsia="宋体" w:cs="宋体"/>
                <w:sz w:val="21"/>
                <w:szCs w:val="21"/>
              </w:rPr>
            </w:pPr>
            <w:r>
              <w:rPr>
                <w:rFonts w:hint="eastAsia" w:ascii="宋体" w:eastAsia="宋体" w:cs="宋体"/>
                <w:sz w:val="21"/>
                <w:szCs w:val="21"/>
              </w:rPr>
              <w:t>（1）</w:t>
            </w:r>
            <w:r>
              <w:rPr>
                <w:rFonts w:hint="eastAsia" w:ascii="宋体" w:cs="宋体"/>
                <w:kern w:val="0"/>
                <w:sz w:val="21"/>
                <w:szCs w:val="21"/>
                <w:highlight w:val="none"/>
                <w:lang w:val="en-US" w:eastAsia="zh-CN"/>
              </w:rPr>
              <w:t>公务艇</w:t>
            </w:r>
            <w:r>
              <w:rPr>
                <w:rFonts w:hint="eastAsia" w:ascii="宋体" w:eastAsia="宋体" w:cs="宋体"/>
                <w:sz w:val="21"/>
                <w:szCs w:val="21"/>
              </w:rPr>
              <w:t>电缆采用“CCS”认可型CEPF、CEFR船用电缆（随机电缆除外）。</w:t>
            </w:r>
          </w:p>
          <w:p w14:paraId="49B3B433">
            <w:pPr>
              <w:spacing w:line="360" w:lineRule="auto"/>
              <w:rPr>
                <w:rFonts w:hint="eastAsia" w:ascii="宋体" w:eastAsia="宋体" w:cs="宋体"/>
                <w:sz w:val="21"/>
                <w:szCs w:val="21"/>
              </w:rPr>
            </w:pPr>
            <w:r>
              <w:rPr>
                <w:rFonts w:hint="eastAsia" w:ascii="宋体" w:eastAsia="宋体" w:cs="宋体"/>
                <w:sz w:val="21"/>
                <w:szCs w:val="21"/>
              </w:rPr>
              <w:t>（2）全船电缆应拉敷整齐，平直，易于检修。</w:t>
            </w:r>
          </w:p>
          <w:p w14:paraId="6F60AFB8">
            <w:pPr>
              <w:rPr>
                <w:rFonts w:hint="eastAsia" w:ascii="宋体" w:eastAsia="宋体" w:cs="宋体"/>
                <w:sz w:val="21"/>
                <w:szCs w:val="21"/>
              </w:rPr>
            </w:pPr>
            <w:r>
              <w:rPr>
                <w:rFonts w:hint="eastAsia" w:ascii="宋体" w:eastAsia="宋体" w:cs="宋体"/>
                <w:sz w:val="21"/>
                <w:szCs w:val="21"/>
              </w:rPr>
              <w:t>（3）电缆的穿舱件应确保水密性。</w:t>
            </w:r>
          </w:p>
        </w:tc>
      </w:tr>
      <w:tr w14:paraId="1570C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07" w:type="dxa"/>
            <w:vMerge w:val="restart"/>
            <w:vAlign w:val="center"/>
          </w:tcPr>
          <w:p w14:paraId="289E511B">
            <w:pPr>
              <w:spacing w:line="360" w:lineRule="auto"/>
              <w:jc w:val="center"/>
              <w:rPr>
                <w:rFonts w:hint="eastAsia" w:ascii="宋体" w:eastAsia="宋体" w:cs="宋体"/>
                <w:sz w:val="21"/>
                <w:szCs w:val="21"/>
                <w:lang w:eastAsia="zh-CN"/>
              </w:rPr>
            </w:pPr>
            <w:r>
              <w:rPr>
                <w:rFonts w:hint="eastAsia" w:ascii="宋体" w:eastAsia="宋体" w:cs="宋体"/>
                <w:sz w:val="21"/>
                <w:szCs w:val="21"/>
                <w:lang w:val="en-US" w:eastAsia="zh-CN"/>
              </w:rPr>
              <w:t>4</w:t>
            </w:r>
          </w:p>
        </w:tc>
        <w:tc>
          <w:tcPr>
            <w:tcW w:w="1292" w:type="dxa"/>
            <w:vMerge w:val="restart"/>
            <w:vAlign w:val="center"/>
          </w:tcPr>
          <w:p w14:paraId="6FA90DF3">
            <w:pPr>
              <w:spacing w:line="360" w:lineRule="auto"/>
              <w:jc w:val="center"/>
              <w:rPr>
                <w:rFonts w:hint="eastAsia" w:ascii="宋体" w:eastAsia="宋体" w:cs="宋体"/>
                <w:sz w:val="21"/>
                <w:szCs w:val="21"/>
                <w:lang w:eastAsia="zh-CN"/>
              </w:rPr>
            </w:pPr>
            <w:r>
              <w:rPr>
                <w:rFonts w:hint="eastAsia" w:ascii="宋体" w:eastAsia="宋体" w:cs="宋体"/>
                <w:bCs/>
                <w:sz w:val="21"/>
                <w:szCs w:val="21"/>
              </w:rPr>
              <w:t>公务艇</w:t>
            </w:r>
            <w:r>
              <w:rPr>
                <w:rFonts w:hint="eastAsia" w:ascii="宋体" w:eastAsia="宋体" w:cs="宋体"/>
                <w:bCs/>
                <w:sz w:val="21"/>
                <w:szCs w:val="21"/>
                <w:lang w:eastAsia="zh-CN"/>
              </w:rPr>
              <w:t>（10米带遮阳蓬的敞开艇）</w:t>
            </w:r>
          </w:p>
        </w:tc>
        <w:tc>
          <w:tcPr>
            <w:tcW w:w="6875" w:type="dxa"/>
          </w:tcPr>
          <w:p w14:paraId="43D7A246">
            <w:pPr>
              <w:spacing w:line="360" w:lineRule="auto"/>
              <w:rPr>
                <w:rFonts w:hint="eastAsia" w:ascii="宋体" w:eastAsia="宋体" w:cs="宋体"/>
                <w:b w:val="0"/>
                <w:bCs w:val="0"/>
                <w:sz w:val="21"/>
                <w:szCs w:val="21"/>
              </w:rPr>
            </w:pPr>
            <w:r>
              <w:rPr>
                <w:rFonts w:hint="eastAsia" w:ascii="宋体" w:eastAsia="宋体" w:cs="宋体"/>
                <w:b w:val="0"/>
                <w:bCs w:val="0"/>
                <w:sz w:val="21"/>
                <w:szCs w:val="21"/>
              </w:rPr>
              <w:t>1.</w:t>
            </w:r>
            <w:r>
              <w:rPr>
                <w:rFonts w:hint="eastAsia" w:ascii="宋体" w:cs="宋体"/>
                <w:b w:val="0"/>
                <w:bCs w:val="0"/>
                <w:sz w:val="21"/>
                <w:szCs w:val="21"/>
                <w:lang w:val="en-US" w:eastAsia="zh-CN"/>
              </w:rPr>
              <w:t>需求概况</w:t>
            </w:r>
            <w:r>
              <w:rPr>
                <w:rFonts w:hint="eastAsia" w:ascii="宋体" w:eastAsia="宋体" w:cs="宋体"/>
                <w:b w:val="0"/>
                <w:bCs w:val="0"/>
                <w:sz w:val="21"/>
                <w:szCs w:val="21"/>
              </w:rPr>
              <w:t>：</w:t>
            </w:r>
          </w:p>
          <w:p w14:paraId="11AECA44">
            <w:pPr>
              <w:spacing w:line="360" w:lineRule="auto"/>
              <w:rPr>
                <w:rFonts w:hint="eastAsia" w:ascii="宋体" w:eastAsia="宋体" w:cs="宋体"/>
                <w:b w:val="0"/>
                <w:bCs w:val="0"/>
                <w:sz w:val="21"/>
                <w:szCs w:val="21"/>
                <w:highlight w:val="none"/>
              </w:rPr>
            </w:pPr>
            <w:r>
              <w:rPr>
                <w:rFonts w:hint="eastAsia" w:ascii="宋体" w:eastAsia="宋体" w:cs="宋体"/>
                <w:b w:val="0"/>
                <w:bCs w:val="0"/>
                <w:kern w:val="0"/>
                <w:sz w:val="21"/>
                <w:szCs w:val="21"/>
                <w:highlight w:val="none"/>
              </w:rPr>
              <w:t>（</w:t>
            </w:r>
            <w:r>
              <w:rPr>
                <w:rFonts w:hint="eastAsia" w:ascii="宋体" w:cs="宋体"/>
                <w:b w:val="0"/>
                <w:bCs w:val="0"/>
                <w:kern w:val="0"/>
                <w:sz w:val="21"/>
                <w:szCs w:val="21"/>
                <w:highlight w:val="none"/>
                <w:lang w:val="en-US" w:eastAsia="zh-CN"/>
              </w:rPr>
              <w:t>1</w:t>
            </w:r>
            <w:r>
              <w:rPr>
                <w:rFonts w:hint="eastAsia" w:ascii="宋体" w:eastAsia="宋体" w:cs="宋体"/>
                <w:b w:val="0"/>
                <w:bCs w:val="0"/>
                <w:kern w:val="0"/>
                <w:sz w:val="21"/>
                <w:szCs w:val="21"/>
                <w:highlight w:val="none"/>
              </w:rPr>
              <w:t>）抗风能力：不低于蒲氏6级。</w:t>
            </w:r>
          </w:p>
          <w:p w14:paraId="2570057B">
            <w:pPr>
              <w:spacing w:line="360" w:lineRule="auto"/>
              <w:rPr>
                <w:rFonts w:hint="eastAsia" w:ascii="宋体" w:eastAsia="宋体" w:cs="宋体"/>
                <w:b w:val="0"/>
                <w:bCs w:val="0"/>
                <w:kern w:val="0"/>
                <w:sz w:val="21"/>
                <w:szCs w:val="21"/>
                <w:highlight w:val="none"/>
              </w:rPr>
            </w:pPr>
            <w:r>
              <w:rPr>
                <w:rFonts w:hint="eastAsia" w:ascii="宋体" w:eastAsia="宋体" w:cs="宋体"/>
                <w:b w:val="0"/>
                <w:bCs w:val="0"/>
                <w:kern w:val="0"/>
                <w:sz w:val="21"/>
                <w:szCs w:val="21"/>
                <w:highlight w:val="none"/>
              </w:rPr>
              <w:t>（</w:t>
            </w:r>
            <w:r>
              <w:rPr>
                <w:rFonts w:hint="eastAsia" w:ascii="宋体" w:cs="宋体"/>
                <w:b w:val="0"/>
                <w:bCs w:val="0"/>
                <w:kern w:val="0"/>
                <w:sz w:val="21"/>
                <w:szCs w:val="21"/>
                <w:highlight w:val="none"/>
                <w:lang w:val="en-US" w:eastAsia="zh-CN"/>
              </w:rPr>
              <w:t>2</w:t>
            </w:r>
            <w:r>
              <w:rPr>
                <w:rFonts w:hint="eastAsia" w:ascii="宋体" w:eastAsia="宋体" w:cs="宋体"/>
                <w:b w:val="0"/>
                <w:bCs w:val="0"/>
                <w:kern w:val="0"/>
                <w:sz w:val="21"/>
                <w:szCs w:val="21"/>
                <w:highlight w:val="none"/>
              </w:rPr>
              <w:t>）规范和规则</w:t>
            </w:r>
          </w:p>
          <w:p w14:paraId="4D22A3FD">
            <w:pPr>
              <w:spacing w:line="360" w:lineRule="auto"/>
              <w:rPr>
                <w:rFonts w:hint="eastAsia" w:ascii="宋体" w:eastAsia="宋体" w:cs="宋体"/>
                <w:b w:val="0"/>
                <w:bCs w:val="0"/>
                <w:kern w:val="0"/>
                <w:sz w:val="21"/>
                <w:szCs w:val="21"/>
                <w:highlight w:val="none"/>
              </w:rPr>
            </w:pPr>
            <w:r>
              <w:rPr>
                <w:rFonts w:hint="eastAsia" w:ascii="宋体" w:eastAsia="宋体" w:cs="宋体"/>
                <w:b w:val="0"/>
                <w:bCs w:val="0"/>
                <w:kern w:val="0"/>
                <w:sz w:val="21"/>
                <w:szCs w:val="21"/>
                <w:highlight w:val="none"/>
              </w:rPr>
              <w:t>①中华人民共和国海事局（MSA）《公务船技术规则》（2020年）；</w:t>
            </w:r>
          </w:p>
          <w:p w14:paraId="06BF433C">
            <w:pPr>
              <w:spacing w:line="360" w:lineRule="auto"/>
              <w:rPr>
                <w:rFonts w:hint="eastAsia" w:ascii="宋体" w:eastAsia="宋体" w:cs="宋体"/>
                <w:b w:val="0"/>
                <w:bCs w:val="0"/>
                <w:kern w:val="0"/>
                <w:sz w:val="21"/>
                <w:szCs w:val="21"/>
                <w:highlight w:val="none"/>
              </w:rPr>
            </w:pPr>
            <w:r>
              <w:rPr>
                <w:rFonts w:hint="eastAsia" w:ascii="宋体" w:eastAsia="宋体" w:cs="宋体"/>
                <w:b w:val="0"/>
                <w:bCs w:val="0"/>
                <w:kern w:val="0"/>
                <w:sz w:val="21"/>
                <w:szCs w:val="21"/>
                <w:highlight w:val="none"/>
              </w:rPr>
              <w:t>②中华人民共和国海事局（MSA）《国内航行小型海船技术规则》（2024）；</w:t>
            </w:r>
          </w:p>
          <w:p w14:paraId="62645565">
            <w:pPr>
              <w:spacing w:line="360" w:lineRule="auto"/>
              <w:rPr>
                <w:rFonts w:hint="eastAsia" w:ascii="宋体" w:eastAsia="宋体" w:cs="宋体"/>
                <w:b w:val="0"/>
                <w:bCs w:val="0"/>
                <w:kern w:val="0"/>
                <w:sz w:val="21"/>
                <w:szCs w:val="21"/>
                <w:highlight w:val="none"/>
              </w:rPr>
            </w:pPr>
            <w:r>
              <w:rPr>
                <w:rFonts w:hint="eastAsia" w:ascii="宋体" w:eastAsia="宋体" w:cs="宋体"/>
                <w:b w:val="0"/>
                <w:bCs w:val="0"/>
                <w:kern w:val="0"/>
                <w:sz w:val="21"/>
                <w:szCs w:val="21"/>
                <w:highlight w:val="none"/>
              </w:rPr>
              <w:t>③中华人民共和国海事局（MSA）《吨位丈量规则》（2022年）；</w:t>
            </w:r>
          </w:p>
          <w:p w14:paraId="4CD26BCE">
            <w:pPr>
              <w:spacing w:line="360" w:lineRule="auto"/>
              <w:rPr>
                <w:rFonts w:hint="eastAsia" w:ascii="宋体" w:eastAsia="宋体" w:cs="宋体"/>
                <w:b w:val="0"/>
                <w:bCs w:val="0"/>
                <w:kern w:val="0"/>
                <w:sz w:val="21"/>
                <w:szCs w:val="21"/>
                <w:highlight w:val="none"/>
              </w:rPr>
            </w:pPr>
            <w:r>
              <w:rPr>
                <w:rFonts w:hint="eastAsia" w:ascii="宋体" w:eastAsia="宋体" w:cs="宋体"/>
                <w:b w:val="0"/>
                <w:bCs w:val="0"/>
                <w:kern w:val="0"/>
                <w:sz w:val="21"/>
                <w:szCs w:val="21"/>
                <w:highlight w:val="none"/>
              </w:rPr>
              <w:t>④中国船级社（CCS）《材料与焊接规范》（2024年）。</w:t>
            </w:r>
          </w:p>
          <w:p w14:paraId="5809765E">
            <w:pPr>
              <w:spacing w:line="360" w:lineRule="auto"/>
              <w:rPr>
                <w:rFonts w:hint="eastAsia" w:ascii="宋体" w:eastAsia="宋体" w:cs="宋体"/>
                <w:b w:val="0"/>
                <w:bCs w:val="0"/>
                <w:kern w:val="0"/>
                <w:sz w:val="21"/>
                <w:szCs w:val="21"/>
                <w:lang w:eastAsia="zh-CN"/>
              </w:rPr>
            </w:pPr>
            <w:r>
              <w:rPr>
                <w:rFonts w:hint="eastAsia" w:ascii="宋体" w:eastAsia="宋体" w:cs="宋体"/>
                <w:b w:val="0"/>
                <w:bCs w:val="0"/>
                <w:kern w:val="0"/>
                <w:sz w:val="21"/>
                <w:szCs w:val="21"/>
              </w:rPr>
              <w:t>（</w:t>
            </w:r>
            <w:r>
              <w:rPr>
                <w:rFonts w:hint="eastAsia" w:ascii="宋体" w:cs="宋体"/>
                <w:b w:val="0"/>
                <w:bCs w:val="0"/>
                <w:kern w:val="0"/>
                <w:sz w:val="21"/>
                <w:szCs w:val="21"/>
                <w:lang w:val="en-US" w:eastAsia="zh-CN"/>
              </w:rPr>
              <w:t>3</w:t>
            </w:r>
            <w:r>
              <w:rPr>
                <w:rFonts w:hint="eastAsia" w:ascii="宋体" w:eastAsia="宋体" w:cs="宋体"/>
                <w:b w:val="0"/>
                <w:bCs w:val="0"/>
                <w:kern w:val="0"/>
                <w:sz w:val="21"/>
                <w:szCs w:val="21"/>
              </w:rPr>
              <w:t>）干舷和储备浮力：要求干舷和储备浮力需满足MSA《国内航行小型海船技术规则》（2024）对敞开艇的相关要求</w:t>
            </w:r>
            <w:r>
              <w:rPr>
                <w:rFonts w:hint="eastAsia" w:ascii="宋体" w:cs="宋体"/>
                <w:b w:val="0"/>
                <w:bCs w:val="0"/>
                <w:kern w:val="0"/>
                <w:sz w:val="21"/>
                <w:szCs w:val="21"/>
                <w:lang w:eastAsia="zh-CN"/>
              </w:rPr>
              <w:t>。</w:t>
            </w:r>
          </w:p>
          <w:p w14:paraId="0E5167DF">
            <w:pPr>
              <w:spacing w:line="360" w:lineRule="auto"/>
              <w:rPr>
                <w:rFonts w:hint="eastAsia" w:ascii="宋体" w:eastAsia="宋体" w:cs="宋体"/>
                <w:b w:val="0"/>
                <w:bCs w:val="0"/>
                <w:kern w:val="0"/>
                <w:sz w:val="21"/>
                <w:szCs w:val="21"/>
              </w:rPr>
            </w:pPr>
            <w:r>
              <w:rPr>
                <w:rFonts w:hint="eastAsia" w:ascii="宋体" w:eastAsia="宋体" w:cs="宋体"/>
                <w:b w:val="0"/>
                <w:bCs w:val="0"/>
                <w:kern w:val="0"/>
                <w:sz w:val="21"/>
                <w:szCs w:val="21"/>
              </w:rPr>
              <w:t>（</w:t>
            </w:r>
            <w:r>
              <w:rPr>
                <w:rFonts w:hint="eastAsia" w:ascii="宋体" w:cs="宋体"/>
                <w:b w:val="0"/>
                <w:bCs w:val="0"/>
                <w:kern w:val="0"/>
                <w:sz w:val="21"/>
                <w:szCs w:val="21"/>
                <w:lang w:val="en-US" w:eastAsia="zh-CN"/>
              </w:rPr>
              <w:t>4</w:t>
            </w:r>
            <w:r>
              <w:rPr>
                <w:rFonts w:hint="eastAsia" w:ascii="宋体" w:eastAsia="宋体" w:cs="宋体"/>
                <w:b w:val="0"/>
                <w:bCs w:val="0"/>
                <w:kern w:val="0"/>
                <w:sz w:val="21"/>
                <w:szCs w:val="21"/>
              </w:rPr>
              <w:t>）完整稳性：要求稳性需满足MSA《国内航行小型海船技术规则》（2024）和《国内航行海船法定检验技术规则》（2020年）对高速船舶的相关要求。</w:t>
            </w:r>
          </w:p>
          <w:p w14:paraId="0384C1A7">
            <w:pPr>
              <w:spacing w:line="360" w:lineRule="auto"/>
              <w:rPr>
                <w:rFonts w:hint="eastAsia" w:ascii="宋体" w:eastAsia="宋体" w:cs="宋体"/>
                <w:kern w:val="0"/>
                <w:sz w:val="21"/>
                <w:szCs w:val="21"/>
              </w:rPr>
            </w:pPr>
            <w:r>
              <w:rPr>
                <w:rFonts w:hint="eastAsia" w:ascii="宋体" w:eastAsia="宋体" w:cs="宋体"/>
                <w:b w:val="0"/>
                <w:bCs w:val="0"/>
                <w:kern w:val="0"/>
                <w:sz w:val="21"/>
                <w:szCs w:val="21"/>
              </w:rPr>
              <w:t>（</w:t>
            </w:r>
            <w:r>
              <w:rPr>
                <w:rFonts w:hint="eastAsia" w:ascii="宋体" w:cs="宋体"/>
                <w:b w:val="0"/>
                <w:bCs w:val="0"/>
                <w:kern w:val="0"/>
                <w:sz w:val="21"/>
                <w:szCs w:val="21"/>
                <w:lang w:val="en-US" w:eastAsia="zh-CN"/>
              </w:rPr>
              <w:t>5</w:t>
            </w:r>
            <w:r>
              <w:rPr>
                <w:rFonts w:hint="eastAsia" w:ascii="宋体" w:eastAsia="宋体" w:cs="宋体"/>
                <w:b w:val="0"/>
                <w:bCs w:val="0"/>
                <w:kern w:val="0"/>
                <w:sz w:val="21"/>
                <w:szCs w:val="21"/>
              </w:rPr>
              <w:t>）破损稳性：要求破损稳性需满足MSA《国内航行小型海船技术规则》（2024）的相关要求，满足进水不沉。</w:t>
            </w:r>
          </w:p>
        </w:tc>
      </w:tr>
      <w:tr w14:paraId="08F8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7" w:type="dxa"/>
            <w:vMerge w:val="continue"/>
          </w:tcPr>
          <w:p w14:paraId="1982F58A"/>
        </w:tc>
        <w:tc>
          <w:tcPr>
            <w:tcW w:w="1292" w:type="dxa"/>
            <w:vMerge w:val="continue"/>
          </w:tcPr>
          <w:p w14:paraId="65771FA7"/>
        </w:tc>
        <w:tc>
          <w:tcPr>
            <w:tcW w:w="6875" w:type="dxa"/>
          </w:tcPr>
          <w:p w14:paraId="48141252">
            <w:pPr>
              <w:spacing w:line="360" w:lineRule="auto"/>
              <w:rPr>
                <w:rFonts w:hint="eastAsia" w:ascii="宋体" w:eastAsia="宋体" w:cs="宋体"/>
                <w:kern w:val="0"/>
                <w:sz w:val="21"/>
                <w:szCs w:val="21"/>
              </w:rPr>
            </w:pPr>
            <w:r>
              <w:rPr>
                <w:rFonts w:hint="eastAsia" w:ascii="宋体" w:eastAsia="宋体" w:cs="宋体"/>
                <w:kern w:val="0"/>
                <w:sz w:val="21"/>
                <w:szCs w:val="21"/>
              </w:rPr>
              <w:t>（一）、船体部分</w:t>
            </w:r>
          </w:p>
          <w:p w14:paraId="6B891124">
            <w:pPr>
              <w:spacing w:line="360" w:lineRule="auto"/>
              <w:rPr>
                <w:rFonts w:ascii="宋体" w:eastAsia="宋体" w:cs="宋体"/>
                <w:kern w:val="0"/>
                <w:sz w:val="21"/>
                <w:szCs w:val="21"/>
                <w:lang w:val="en-US" w:eastAsia="zh-CN"/>
              </w:rPr>
            </w:pPr>
            <w:r>
              <w:rPr>
                <w:rFonts w:hint="eastAsia" w:ascii="宋体" w:eastAsia="宋体" w:cs="宋体"/>
                <w:kern w:val="0"/>
                <w:sz w:val="21"/>
                <w:szCs w:val="21"/>
              </w:rPr>
              <w:t>1.</w:t>
            </w:r>
            <w:r>
              <w:rPr>
                <w:rFonts w:hint="eastAsia" w:ascii="宋体" w:cs="宋体"/>
                <w:kern w:val="0"/>
                <w:sz w:val="21"/>
                <w:szCs w:val="21"/>
                <w:lang w:val="en-US" w:eastAsia="zh-CN"/>
              </w:rPr>
              <w:t>总体要求</w:t>
            </w:r>
          </w:p>
          <w:p w14:paraId="661B275F">
            <w:pPr>
              <w:spacing w:line="360" w:lineRule="auto"/>
              <w:rPr>
                <w:rFonts w:hint="eastAsia" w:ascii="宋体" w:eastAsia="宋体" w:cs="宋体"/>
                <w:kern w:val="0"/>
                <w:sz w:val="21"/>
                <w:szCs w:val="21"/>
              </w:rPr>
            </w:pPr>
            <w:r>
              <w:rPr>
                <w:rFonts w:hint="eastAsia" w:ascii="宋体" w:eastAsia="宋体" w:cs="宋体"/>
                <w:bCs/>
                <w:sz w:val="21"/>
                <w:szCs w:val="21"/>
                <w:highlight w:val="none"/>
              </w:rPr>
              <w:t>公务艇</w:t>
            </w:r>
            <w:r>
              <w:rPr>
                <w:rFonts w:hint="eastAsia" w:ascii="宋体" w:eastAsia="宋体" w:cs="宋体"/>
                <w:kern w:val="0"/>
                <w:sz w:val="21"/>
                <w:szCs w:val="21"/>
              </w:rPr>
              <w:t>为前倾式艏柱，单体，折角深 V 滑行艇船型。</w:t>
            </w:r>
            <w:r>
              <w:rPr>
                <w:rFonts w:hint="eastAsia" w:ascii="宋体" w:cs="宋体"/>
                <w:kern w:val="0"/>
                <w:sz w:val="21"/>
                <w:szCs w:val="21"/>
                <w:lang w:val="en-US" w:eastAsia="zh-CN"/>
              </w:rPr>
              <w:t>船艇类型</w:t>
            </w:r>
            <w:r>
              <w:rPr>
                <w:rFonts w:hint="eastAsia" w:ascii="宋体" w:eastAsia="宋体" w:cs="宋体"/>
                <w:kern w:val="0"/>
                <w:sz w:val="21"/>
                <w:szCs w:val="21"/>
              </w:rPr>
              <w:t>为</w:t>
            </w:r>
            <w:r>
              <w:rPr>
                <w:rFonts w:hint="eastAsia" w:ascii="宋体" w:cs="宋体"/>
                <w:kern w:val="0"/>
                <w:sz w:val="21"/>
                <w:szCs w:val="21"/>
                <w:lang w:val="en-US" w:eastAsia="zh-CN"/>
              </w:rPr>
              <w:t>带遮阳</w:t>
            </w:r>
            <w:r>
              <w:rPr>
                <w:rFonts w:hint="eastAsia" w:ascii="宋体" w:eastAsia="宋体" w:cs="宋体"/>
                <w:sz w:val="21"/>
                <w:szCs w:val="21"/>
              </w:rPr>
              <w:t>敞开艇</w:t>
            </w:r>
            <w:r>
              <w:rPr>
                <w:rFonts w:hint="eastAsia" w:ascii="宋体" w:eastAsia="宋体" w:cs="宋体"/>
                <w:kern w:val="0"/>
                <w:sz w:val="21"/>
                <w:szCs w:val="21"/>
              </w:rPr>
              <w:t>。采用汽油舷外挂机驱动；全艇为全焊接铝合金结构，船用铝合金（5083-H116、6082-T6）。</w:t>
            </w:r>
          </w:p>
        </w:tc>
      </w:tr>
      <w:tr w14:paraId="44116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07" w:type="dxa"/>
            <w:vMerge w:val="continue"/>
          </w:tcPr>
          <w:p w14:paraId="3EA9B616"/>
        </w:tc>
        <w:tc>
          <w:tcPr>
            <w:tcW w:w="1292" w:type="dxa"/>
            <w:vMerge w:val="continue"/>
          </w:tcPr>
          <w:p w14:paraId="567F652F"/>
        </w:tc>
        <w:tc>
          <w:tcPr>
            <w:tcW w:w="6875" w:type="dxa"/>
          </w:tcPr>
          <w:p w14:paraId="411969E8">
            <w:pPr>
              <w:spacing w:line="360" w:lineRule="auto"/>
              <w:rPr>
                <w:rFonts w:hint="eastAsia" w:ascii="宋体" w:eastAsia="宋体" w:cs="宋体"/>
                <w:b/>
                <w:bCs/>
                <w:kern w:val="0"/>
                <w:sz w:val="21"/>
                <w:szCs w:val="21"/>
                <w:highlight w:val="yellow"/>
              </w:rPr>
            </w:pPr>
            <w:r>
              <w:rPr>
                <w:rFonts w:hint="eastAsia" w:ascii="宋体" w:eastAsia="宋体" w:cs="宋体"/>
                <w:b/>
                <w:bCs/>
                <w:kern w:val="0"/>
                <w:sz w:val="21"/>
                <w:szCs w:val="21"/>
                <w:highlight w:val="yellow"/>
              </w:rPr>
              <w:t>★1.1主要尺度及线型要素</w:t>
            </w:r>
          </w:p>
          <w:p w14:paraId="0668690C">
            <w:pPr>
              <w:spacing w:line="360" w:lineRule="auto"/>
              <w:rPr>
                <w:rFonts w:hint="eastAsia" w:ascii="宋体" w:eastAsia="宋体" w:cs="宋体"/>
                <w:b/>
                <w:bCs/>
                <w:sz w:val="21"/>
                <w:szCs w:val="21"/>
                <w:highlight w:val="yellow"/>
              </w:rPr>
            </w:pPr>
            <w:r>
              <w:rPr>
                <w:rFonts w:hint="eastAsia" w:ascii="宋体" w:eastAsia="宋体" w:cs="宋体"/>
                <w:b/>
                <w:bCs/>
                <w:sz w:val="21"/>
                <w:szCs w:val="21"/>
                <w:highlight w:val="yellow"/>
              </w:rPr>
              <w:t>（</w:t>
            </w:r>
            <w:r>
              <w:rPr>
                <w:rFonts w:hint="eastAsia" w:ascii="宋体" w:cs="宋体"/>
                <w:b/>
                <w:bCs/>
                <w:sz w:val="21"/>
                <w:szCs w:val="21"/>
                <w:highlight w:val="yellow"/>
                <w:lang w:val="en-US" w:eastAsia="zh-CN"/>
              </w:rPr>
              <w:t>1</w:t>
            </w:r>
            <w:r>
              <w:rPr>
                <w:rFonts w:hint="eastAsia" w:ascii="宋体" w:eastAsia="宋体" w:cs="宋体"/>
                <w:b/>
                <w:bCs/>
                <w:sz w:val="21"/>
                <w:szCs w:val="21"/>
                <w:highlight w:val="yellow"/>
              </w:rPr>
              <w:t>）</w:t>
            </w:r>
            <w:r>
              <w:rPr>
                <w:rFonts w:hint="eastAsia" w:ascii="宋体" w:eastAsia="宋体" w:cs="宋体"/>
                <w:b/>
                <w:bCs/>
                <w:kern w:val="0"/>
                <w:sz w:val="21"/>
                <w:szCs w:val="21"/>
                <w:highlight w:val="yellow"/>
              </w:rPr>
              <w:t>总长：9.00米-11.00米</w:t>
            </w:r>
            <w:r>
              <w:rPr>
                <w:rFonts w:hint="eastAsia" w:ascii="宋体" w:cs="宋体"/>
                <w:b/>
                <w:bCs/>
                <w:kern w:val="0"/>
                <w:sz w:val="21"/>
                <w:szCs w:val="21"/>
                <w:highlight w:val="yellow"/>
                <w:lang w:val="en-US" w:eastAsia="zh-CN"/>
              </w:rPr>
              <w:t>船体长度不包含突出物</w:t>
            </w:r>
            <w:r>
              <w:rPr>
                <w:rFonts w:hint="eastAsia" w:ascii="宋体" w:eastAsia="宋体" w:cs="宋体"/>
                <w:b/>
                <w:bCs/>
                <w:kern w:val="0"/>
                <w:sz w:val="21"/>
                <w:szCs w:val="21"/>
                <w:highlight w:val="yellow"/>
              </w:rPr>
              <w:t>；船宽：2.70米-3.2米；型深：1.2米-1.5米</w:t>
            </w:r>
            <w:r>
              <w:rPr>
                <w:rFonts w:hint="eastAsia" w:ascii="宋体" w:cs="宋体"/>
                <w:b/>
                <w:bCs/>
                <w:kern w:val="0"/>
                <w:sz w:val="21"/>
                <w:szCs w:val="21"/>
                <w:highlight w:val="yellow"/>
                <w:lang w:val="en-US" w:eastAsia="zh-CN"/>
              </w:rPr>
              <w:t>(以上范围内任意值均可，但不包含突出物的长度）</w:t>
            </w:r>
            <w:r>
              <w:rPr>
                <w:rFonts w:hint="eastAsia" w:ascii="宋体" w:eastAsia="宋体" w:cs="宋体"/>
                <w:b/>
                <w:bCs/>
                <w:kern w:val="0"/>
                <w:sz w:val="21"/>
                <w:szCs w:val="21"/>
                <w:highlight w:val="yellow"/>
              </w:rPr>
              <w:t>；用于承担海域内海事公务巡逻、海上救援、突发事件应急响应与处置等综合执法任务执行海岸辖区内水上维权执法、海事管理、应急救援等任务。适用于沿海平静水域日间、夜间航行要求。</w:t>
            </w:r>
          </w:p>
          <w:p w14:paraId="0A8B4185">
            <w:pPr>
              <w:spacing w:line="360" w:lineRule="auto"/>
              <w:rPr>
                <w:rFonts w:hint="eastAsia" w:ascii="宋体" w:eastAsia="宋体" w:cs="宋体"/>
                <w:b/>
                <w:bCs/>
                <w:sz w:val="21"/>
                <w:szCs w:val="21"/>
                <w:highlight w:val="yellow"/>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2</w:t>
            </w:r>
            <w:r>
              <w:rPr>
                <w:rFonts w:hint="eastAsia" w:ascii="宋体" w:eastAsia="宋体" w:cs="宋体"/>
                <w:b/>
                <w:bCs/>
                <w:kern w:val="0"/>
                <w:sz w:val="21"/>
                <w:szCs w:val="21"/>
                <w:highlight w:val="yellow"/>
              </w:rPr>
              <w:t>）满载吃水：0.50米～0.70米</w:t>
            </w:r>
            <w:r>
              <w:rPr>
                <w:rFonts w:hint="eastAsia"/>
                <w:b/>
                <w:bCs/>
                <w:highlight w:val="yellow"/>
              </w:rPr>
              <w:t>（以上范围内任意值均可）</w:t>
            </w:r>
            <w:r>
              <w:rPr>
                <w:rFonts w:hint="eastAsia" w:ascii="宋体" w:eastAsia="宋体" w:cs="宋体"/>
                <w:b/>
                <w:bCs/>
                <w:kern w:val="0"/>
                <w:sz w:val="21"/>
                <w:szCs w:val="21"/>
                <w:highlight w:val="yellow"/>
              </w:rPr>
              <w:t>。</w:t>
            </w:r>
          </w:p>
          <w:p w14:paraId="53523F9F">
            <w:pPr>
              <w:spacing w:line="360" w:lineRule="auto"/>
              <w:rPr>
                <w:rFonts w:hint="eastAsia" w:ascii="宋体" w:eastAsia="宋体" w:cs="宋体"/>
                <w:b/>
                <w:bCs/>
                <w:sz w:val="21"/>
                <w:szCs w:val="21"/>
                <w:highlight w:val="yellow"/>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3</w:t>
            </w:r>
            <w:r>
              <w:rPr>
                <w:rFonts w:hint="eastAsia" w:ascii="宋体" w:eastAsia="宋体" w:cs="宋体"/>
                <w:b/>
                <w:bCs/>
                <w:kern w:val="0"/>
                <w:sz w:val="21"/>
                <w:szCs w:val="21"/>
                <w:highlight w:val="yellow"/>
              </w:rPr>
              <w:t>）排水量：5-8吨</w:t>
            </w:r>
            <w:r>
              <w:rPr>
                <w:rFonts w:hint="eastAsia"/>
                <w:b/>
                <w:bCs/>
                <w:highlight w:val="yellow"/>
              </w:rPr>
              <w:t>（以上范围内任意值均可）</w:t>
            </w:r>
            <w:r>
              <w:rPr>
                <w:rFonts w:hint="eastAsia" w:ascii="宋体" w:eastAsia="宋体" w:cs="宋体"/>
                <w:b/>
                <w:bCs/>
                <w:kern w:val="0"/>
                <w:sz w:val="21"/>
                <w:szCs w:val="21"/>
                <w:highlight w:val="yellow"/>
              </w:rPr>
              <w:t>。</w:t>
            </w:r>
          </w:p>
          <w:p w14:paraId="067CF451">
            <w:pPr>
              <w:spacing w:line="360" w:lineRule="auto"/>
              <w:rPr>
                <w:rFonts w:hint="eastAsia" w:ascii="宋体" w:eastAsia="宋体" w:cs="宋体"/>
                <w:b/>
                <w:bCs/>
                <w:sz w:val="21"/>
                <w:szCs w:val="21"/>
                <w:highlight w:val="yellow"/>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4</w:t>
            </w:r>
            <w:r>
              <w:rPr>
                <w:rFonts w:hint="eastAsia" w:ascii="宋体" w:eastAsia="宋体" w:cs="宋体"/>
                <w:b/>
                <w:bCs/>
                <w:kern w:val="0"/>
                <w:sz w:val="21"/>
                <w:szCs w:val="21"/>
                <w:highlight w:val="yellow"/>
              </w:rPr>
              <w:t>）定员：7人（船员2人，乘员5人）。</w:t>
            </w:r>
          </w:p>
          <w:p w14:paraId="7D6D8192">
            <w:pPr>
              <w:spacing w:line="360" w:lineRule="auto"/>
              <w:rPr>
                <w:rFonts w:hint="eastAsia" w:ascii="宋体" w:eastAsia="宋体" w:cs="宋体"/>
                <w:b/>
                <w:bCs/>
                <w:sz w:val="21"/>
                <w:szCs w:val="21"/>
                <w:highlight w:val="yellow"/>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5</w:t>
            </w:r>
            <w:r>
              <w:rPr>
                <w:rFonts w:hint="eastAsia" w:ascii="宋体" w:eastAsia="宋体" w:cs="宋体"/>
                <w:b/>
                <w:bCs/>
                <w:kern w:val="0"/>
                <w:sz w:val="21"/>
                <w:szCs w:val="21"/>
                <w:highlight w:val="yellow"/>
              </w:rPr>
              <w:t>）燃油：</w:t>
            </w:r>
            <w:r>
              <w:rPr>
                <w:rFonts w:hint="eastAsia" w:ascii="宋体" w:cs="宋体"/>
                <w:b/>
                <w:bCs/>
                <w:kern w:val="0"/>
                <w:sz w:val="21"/>
                <w:szCs w:val="21"/>
                <w:highlight w:val="yellow"/>
                <w:lang w:val="en-US" w:eastAsia="zh-CN"/>
              </w:rPr>
              <w:t>不小于1200</w:t>
            </w:r>
            <w:r>
              <w:rPr>
                <w:rFonts w:hint="eastAsia" w:ascii="宋体" w:eastAsia="宋体" w:cs="宋体"/>
                <w:b/>
                <w:bCs/>
                <w:kern w:val="0"/>
                <w:sz w:val="21"/>
                <w:szCs w:val="21"/>
                <w:highlight w:val="yellow"/>
              </w:rPr>
              <w:t>升。</w:t>
            </w:r>
          </w:p>
          <w:p w14:paraId="117C802D">
            <w:pPr>
              <w:spacing w:line="360" w:lineRule="auto"/>
              <w:rPr>
                <w:rFonts w:hint="eastAsia" w:ascii="宋体" w:eastAsia="宋体" w:cs="宋体"/>
                <w:b/>
                <w:bCs/>
                <w:sz w:val="21"/>
                <w:szCs w:val="21"/>
                <w:highlight w:val="yellow"/>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6</w:t>
            </w:r>
            <w:r>
              <w:rPr>
                <w:rFonts w:hint="eastAsia" w:ascii="宋体" w:eastAsia="宋体" w:cs="宋体"/>
                <w:b/>
                <w:bCs/>
                <w:kern w:val="0"/>
                <w:sz w:val="21"/>
                <w:szCs w:val="21"/>
                <w:highlight w:val="yellow"/>
              </w:rPr>
              <w:t>）在正常排水量状态，静水中，风力不大于蒲氏3级，船艇主机以最大转速运行时，最高航速不低于</w:t>
            </w:r>
            <w:r>
              <w:rPr>
                <w:rFonts w:hint="eastAsia" w:ascii="宋体" w:cs="宋体"/>
                <w:b/>
                <w:bCs/>
                <w:kern w:val="0"/>
                <w:sz w:val="21"/>
                <w:szCs w:val="21"/>
                <w:highlight w:val="yellow"/>
                <w:lang w:val="en-US" w:eastAsia="zh-CN"/>
              </w:rPr>
              <w:t>2</w:t>
            </w:r>
            <w:r>
              <w:rPr>
                <w:rFonts w:hint="eastAsia" w:ascii="宋体" w:eastAsia="宋体" w:cs="宋体"/>
                <w:b/>
                <w:bCs/>
                <w:kern w:val="0"/>
                <w:sz w:val="21"/>
                <w:szCs w:val="21"/>
                <w:highlight w:val="yellow"/>
              </w:rPr>
              <w:t>2节（</w:t>
            </w:r>
            <w:r>
              <w:rPr>
                <w:rFonts w:hint="eastAsia" w:ascii="宋体" w:cs="宋体"/>
                <w:b/>
                <w:bCs/>
                <w:kern w:val="0"/>
                <w:sz w:val="21"/>
                <w:szCs w:val="21"/>
                <w:highlight w:val="yellow"/>
                <w:lang w:val="en-US" w:eastAsia="zh-CN"/>
              </w:rPr>
              <w:t>42</w:t>
            </w:r>
            <w:r>
              <w:rPr>
                <w:rFonts w:hint="eastAsia" w:ascii="宋体" w:eastAsia="宋体" w:cs="宋体"/>
                <w:b/>
                <w:bCs/>
                <w:kern w:val="0"/>
                <w:sz w:val="21"/>
                <w:szCs w:val="21"/>
                <w:highlight w:val="yellow"/>
              </w:rPr>
              <w:t>km/h）。</w:t>
            </w:r>
          </w:p>
          <w:p w14:paraId="1B6FCDE5">
            <w:pPr>
              <w:spacing w:line="360" w:lineRule="auto"/>
              <w:rPr>
                <w:rFonts w:hint="eastAsia" w:ascii="宋体" w:eastAsia="宋体" w:cs="宋体"/>
                <w:b/>
                <w:bCs/>
                <w:sz w:val="21"/>
                <w:szCs w:val="21"/>
                <w:highlight w:val="yellow"/>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7</w:t>
            </w:r>
            <w:r>
              <w:rPr>
                <w:rFonts w:hint="eastAsia" w:ascii="宋体" w:eastAsia="宋体" w:cs="宋体"/>
                <w:b/>
                <w:bCs/>
                <w:kern w:val="0"/>
                <w:sz w:val="21"/>
                <w:szCs w:val="21"/>
                <w:highlight w:val="yellow"/>
              </w:rPr>
              <w:t>）巡航速度：</w:t>
            </w:r>
            <w:r>
              <w:rPr>
                <w:rFonts w:hint="eastAsia" w:ascii="宋体" w:cs="宋体"/>
                <w:b/>
                <w:bCs/>
                <w:kern w:val="0"/>
                <w:sz w:val="21"/>
                <w:szCs w:val="21"/>
                <w:highlight w:val="yellow"/>
                <w:lang w:val="en-US" w:eastAsia="zh-CN"/>
              </w:rPr>
              <w:t>不小于20节</w:t>
            </w:r>
            <w:r>
              <w:rPr>
                <w:rFonts w:hint="eastAsia" w:ascii="宋体" w:eastAsia="宋体" w:cs="宋体"/>
                <w:b/>
                <w:bCs/>
                <w:kern w:val="0"/>
                <w:sz w:val="21"/>
                <w:szCs w:val="21"/>
                <w:highlight w:val="yellow"/>
              </w:rPr>
              <w:t>。</w:t>
            </w:r>
          </w:p>
          <w:p w14:paraId="623A2355">
            <w:pPr>
              <w:spacing w:line="360" w:lineRule="auto"/>
              <w:rPr>
                <w:rFonts w:hint="eastAsia" w:ascii="宋体" w:eastAsia="宋体" w:cs="宋体"/>
                <w:kern w:val="0"/>
                <w:sz w:val="21"/>
                <w:szCs w:val="21"/>
              </w:rPr>
            </w:pPr>
            <w:r>
              <w:rPr>
                <w:rFonts w:hint="eastAsia" w:ascii="宋体" w:eastAsia="宋体" w:cs="宋体"/>
                <w:b/>
                <w:bCs/>
                <w:kern w:val="0"/>
                <w:sz w:val="21"/>
                <w:szCs w:val="21"/>
                <w:highlight w:val="yellow"/>
              </w:rPr>
              <w:t>（</w:t>
            </w:r>
            <w:r>
              <w:rPr>
                <w:rFonts w:hint="eastAsia" w:ascii="宋体" w:cs="宋体"/>
                <w:b/>
                <w:bCs/>
                <w:kern w:val="0"/>
                <w:sz w:val="21"/>
                <w:szCs w:val="21"/>
                <w:highlight w:val="yellow"/>
                <w:lang w:val="en-US" w:eastAsia="zh-CN"/>
              </w:rPr>
              <w:t>8</w:t>
            </w:r>
            <w:r>
              <w:rPr>
                <w:rFonts w:hint="eastAsia" w:ascii="宋体" w:eastAsia="宋体" w:cs="宋体"/>
                <w:b/>
                <w:bCs/>
                <w:kern w:val="0"/>
                <w:sz w:val="21"/>
                <w:szCs w:val="21"/>
                <w:highlight w:val="yellow"/>
              </w:rPr>
              <w:t>）在满载排水量（满油）状态下，以巡航速度航行时，续航力不小于150海里（250公里）。</w:t>
            </w:r>
          </w:p>
        </w:tc>
      </w:tr>
      <w:tr w14:paraId="6C7EB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707" w:type="dxa"/>
            <w:vMerge w:val="continue"/>
          </w:tcPr>
          <w:p w14:paraId="242FC373"/>
        </w:tc>
        <w:tc>
          <w:tcPr>
            <w:tcW w:w="1292" w:type="dxa"/>
            <w:vMerge w:val="continue"/>
          </w:tcPr>
          <w:p w14:paraId="544E57F6"/>
        </w:tc>
        <w:tc>
          <w:tcPr>
            <w:tcW w:w="6875" w:type="dxa"/>
          </w:tcPr>
          <w:p w14:paraId="760F540A">
            <w:pPr>
              <w:spacing w:line="360" w:lineRule="auto"/>
              <w:rPr>
                <w:rFonts w:hint="eastAsia" w:ascii="宋体" w:eastAsia="宋体" w:cs="宋体"/>
                <w:kern w:val="0"/>
                <w:sz w:val="21"/>
                <w:szCs w:val="21"/>
              </w:rPr>
            </w:pPr>
            <w:r>
              <w:rPr>
                <w:rFonts w:hint="eastAsia" w:ascii="宋体" w:eastAsia="宋体" w:cs="宋体"/>
                <w:kern w:val="0"/>
                <w:sz w:val="21"/>
                <w:szCs w:val="21"/>
                <w:highlight w:val="none"/>
              </w:rPr>
              <w:t>1.2航区：适航于</w:t>
            </w:r>
            <w:r>
              <w:rPr>
                <w:rFonts w:hint="eastAsia" w:ascii="宋体" w:cs="宋体"/>
                <w:kern w:val="0"/>
                <w:sz w:val="21"/>
                <w:szCs w:val="21"/>
                <w:highlight w:val="none"/>
                <w:lang w:val="en-US" w:eastAsia="zh-CN"/>
              </w:rPr>
              <w:t>我国</w:t>
            </w:r>
            <w:r>
              <w:rPr>
                <w:rFonts w:hint="eastAsia" w:ascii="宋体" w:eastAsia="宋体" w:cs="宋体"/>
                <w:kern w:val="0"/>
                <w:sz w:val="21"/>
                <w:szCs w:val="21"/>
                <w:highlight w:val="none"/>
              </w:rPr>
              <w:t>沿海平静水域。</w:t>
            </w:r>
          </w:p>
        </w:tc>
      </w:tr>
      <w:tr w14:paraId="66181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trPr>
        <w:tc>
          <w:tcPr>
            <w:tcW w:w="707" w:type="dxa"/>
            <w:vMerge w:val="continue"/>
          </w:tcPr>
          <w:p w14:paraId="379CACA4"/>
        </w:tc>
        <w:tc>
          <w:tcPr>
            <w:tcW w:w="1292" w:type="dxa"/>
            <w:vMerge w:val="continue"/>
          </w:tcPr>
          <w:p w14:paraId="491E97D3"/>
        </w:tc>
        <w:tc>
          <w:tcPr>
            <w:tcW w:w="6875" w:type="dxa"/>
          </w:tcPr>
          <w:p w14:paraId="6EF13DE1">
            <w:pPr>
              <w:spacing w:line="360" w:lineRule="auto"/>
              <w:rPr>
                <w:rFonts w:hint="eastAsia" w:ascii="宋体" w:eastAsia="宋体" w:cs="宋体"/>
                <w:b w:val="0"/>
                <w:bCs w:val="0"/>
                <w:kern w:val="0"/>
                <w:sz w:val="21"/>
                <w:szCs w:val="21"/>
                <w:highlight w:val="none"/>
              </w:rPr>
            </w:pPr>
            <w:r>
              <w:rPr>
                <w:rFonts w:hint="eastAsia" w:ascii="宋体" w:eastAsia="宋体" w:cs="宋体"/>
                <w:b w:val="0"/>
                <w:bCs w:val="0"/>
                <w:kern w:val="0"/>
                <w:sz w:val="21"/>
                <w:szCs w:val="21"/>
                <w:highlight w:val="none"/>
              </w:rPr>
              <w:t>1.3续航力、航速：</w:t>
            </w:r>
          </w:p>
          <w:p w14:paraId="240BF3A1">
            <w:pPr>
              <w:spacing w:line="360" w:lineRule="auto"/>
              <w:rPr>
                <w:rFonts w:hint="eastAsia" w:ascii="宋体" w:eastAsia="宋体" w:cs="宋体"/>
                <w:b w:val="0"/>
                <w:bCs w:val="0"/>
                <w:kern w:val="0"/>
                <w:sz w:val="21"/>
                <w:szCs w:val="21"/>
                <w:highlight w:val="none"/>
              </w:rPr>
            </w:pPr>
            <w:r>
              <w:rPr>
                <w:rFonts w:hint="eastAsia" w:ascii="宋体" w:eastAsia="宋体" w:cs="宋体"/>
                <w:b w:val="0"/>
                <w:bCs w:val="0"/>
                <w:kern w:val="0"/>
                <w:sz w:val="21"/>
                <w:szCs w:val="21"/>
                <w:highlight w:val="none"/>
              </w:rPr>
              <w:t>续航力：</w:t>
            </w:r>
            <w:r>
              <w:rPr>
                <w:rFonts w:hint="eastAsia" w:ascii="宋体" w:cs="宋体"/>
                <w:b w:val="0"/>
                <w:bCs w:val="0"/>
                <w:kern w:val="0"/>
                <w:sz w:val="21"/>
                <w:szCs w:val="21"/>
                <w:highlight w:val="none"/>
                <w:lang w:val="en-US" w:eastAsia="zh-CN"/>
              </w:rPr>
              <w:t>公务艇</w:t>
            </w:r>
            <w:r>
              <w:rPr>
                <w:rFonts w:hint="eastAsia" w:ascii="宋体" w:eastAsia="宋体" w:cs="宋体"/>
                <w:b w:val="0"/>
                <w:bCs w:val="0"/>
                <w:kern w:val="0"/>
                <w:sz w:val="21"/>
                <w:szCs w:val="21"/>
                <w:highlight w:val="none"/>
              </w:rPr>
              <w:t>以巡航（经济）航速航行时，其续航力不小于150海里（250公里）</w:t>
            </w:r>
          </w:p>
          <w:p w14:paraId="6835EAA5">
            <w:pPr>
              <w:spacing w:line="360" w:lineRule="auto"/>
              <w:rPr>
                <w:rFonts w:hint="eastAsia" w:ascii="宋体" w:eastAsia="宋体" w:cs="宋体"/>
                <w:kern w:val="0"/>
                <w:sz w:val="21"/>
                <w:szCs w:val="21"/>
              </w:rPr>
            </w:pPr>
            <w:r>
              <w:rPr>
                <w:rFonts w:hint="eastAsia" w:ascii="宋体" w:eastAsia="宋体" w:cs="宋体"/>
                <w:b w:val="0"/>
                <w:bCs w:val="0"/>
                <w:kern w:val="0"/>
                <w:sz w:val="21"/>
                <w:szCs w:val="21"/>
                <w:highlight w:val="none"/>
              </w:rPr>
              <w:t>航  速：</w:t>
            </w:r>
            <w:r>
              <w:rPr>
                <w:rFonts w:hint="eastAsia" w:ascii="宋体" w:cs="宋体"/>
                <w:b w:val="0"/>
                <w:bCs w:val="0"/>
                <w:kern w:val="0"/>
                <w:sz w:val="21"/>
                <w:szCs w:val="21"/>
                <w:highlight w:val="none"/>
                <w:lang w:val="en-US" w:eastAsia="zh-CN"/>
              </w:rPr>
              <w:t>公务艇</w:t>
            </w:r>
            <w:r>
              <w:rPr>
                <w:rFonts w:hint="eastAsia" w:ascii="宋体" w:eastAsia="宋体" w:cs="宋体"/>
                <w:b w:val="0"/>
                <w:bCs w:val="0"/>
                <w:kern w:val="0"/>
                <w:sz w:val="21"/>
                <w:szCs w:val="21"/>
                <w:highlight w:val="none"/>
              </w:rPr>
              <w:t>在满载排水量时，主机额定功率、平静海况、水深大于3米，最大试航速度不低</w:t>
            </w:r>
            <w:r>
              <w:rPr>
                <w:rFonts w:hint="eastAsia" w:ascii="宋体" w:cs="宋体"/>
                <w:b w:val="0"/>
                <w:bCs w:val="0"/>
                <w:kern w:val="0"/>
                <w:sz w:val="21"/>
                <w:szCs w:val="21"/>
                <w:highlight w:val="none"/>
                <w:lang w:val="en-US" w:eastAsia="zh-CN"/>
              </w:rPr>
              <w:t>2</w:t>
            </w:r>
            <w:r>
              <w:rPr>
                <w:rFonts w:hint="eastAsia" w:ascii="宋体" w:eastAsia="宋体" w:cs="宋体"/>
                <w:b w:val="0"/>
                <w:bCs w:val="0"/>
                <w:kern w:val="0"/>
                <w:sz w:val="21"/>
                <w:szCs w:val="21"/>
                <w:highlight w:val="none"/>
              </w:rPr>
              <w:t>2节（</w:t>
            </w:r>
            <w:r>
              <w:rPr>
                <w:rFonts w:hint="eastAsia" w:ascii="宋体" w:cs="宋体"/>
                <w:b w:val="0"/>
                <w:bCs w:val="0"/>
                <w:kern w:val="0"/>
                <w:sz w:val="21"/>
                <w:szCs w:val="21"/>
                <w:highlight w:val="none"/>
                <w:lang w:val="en-US" w:eastAsia="zh-CN"/>
              </w:rPr>
              <w:t>42</w:t>
            </w:r>
            <w:r>
              <w:rPr>
                <w:rFonts w:hint="eastAsia" w:ascii="宋体" w:eastAsia="宋体" w:cs="宋体"/>
                <w:b w:val="0"/>
                <w:bCs w:val="0"/>
                <w:kern w:val="0"/>
                <w:sz w:val="21"/>
                <w:szCs w:val="21"/>
                <w:highlight w:val="none"/>
              </w:rPr>
              <w:t>km/h）。</w:t>
            </w:r>
          </w:p>
        </w:tc>
      </w:tr>
      <w:tr w14:paraId="025EB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707" w:type="dxa"/>
            <w:vMerge w:val="continue"/>
          </w:tcPr>
          <w:p w14:paraId="79A2DFBF"/>
        </w:tc>
        <w:tc>
          <w:tcPr>
            <w:tcW w:w="1292" w:type="dxa"/>
            <w:vMerge w:val="continue"/>
          </w:tcPr>
          <w:p w14:paraId="74D713B6"/>
        </w:tc>
        <w:tc>
          <w:tcPr>
            <w:tcW w:w="6875" w:type="dxa"/>
          </w:tcPr>
          <w:p w14:paraId="689A6AE6">
            <w:pPr>
              <w:spacing w:line="360" w:lineRule="auto"/>
              <w:rPr>
                <w:rFonts w:hint="eastAsia" w:ascii="宋体" w:eastAsia="宋体" w:cs="宋体"/>
                <w:kern w:val="0"/>
                <w:sz w:val="21"/>
                <w:szCs w:val="21"/>
              </w:rPr>
            </w:pPr>
            <w:r>
              <w:rPr>
                <w:rFonts w:hint="eastAsia" w:ascii="宋体" w:eastAsia="宋体" w:cs="宋体"/>
                <w:kern w:val="0"/>
                <w:sz w:val="21"/>
                <w:szCs w:val="21"/>
              </w:rPr>
              <w:t>1.4完整稳性和抗风能力：</w:t>
            </w:r>
            <w:r>
              <w:rPr>
                <w:rFonts w:hint="eastAsia" w:ascii="宋体" w:cs="宋体"/>
                <w:kern w:val="0"/>
                <w:sz w:val="21"/>
                <w:szCs w:val="21"/>
                <w:highlight w:val="none"/>
                <w:lang w:val="en-US" w:eastAsia="zh-CN"/>
              </w:rPr>
              <w:t>公务艇</w:t>
            </w:r>
            <w:r>
              <w:rPr>
                <w:rFonts w:hint="eastAsia" w:ascii="宋体" w:eastAsia="宋体" w:cs="宋体"/>
                <w:kern w:val="0"/>
                <w:sz w:val="21"/>
                <w:szCs w:val="21"/>
              </w:rPr>
              <w:t>需求的完整稳性满足中华人民共和国海事局《国内航行小型海船技术规则》（2024）对沿海航区平静水域之要求。</w:t>
            </w:r>
          </w:p>
        </w:tc>
      </w:tr>
      <w:tr w14:paraId="43984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707" w:type="dxa"/>
            <w:vMerge w:val="continue"/>
          </w:tcPr>
          <w:p w14:paraId="57068793"/>
        </w:tc>
        <w:tc>
          <w:tcPr>
            <w:tcW w:w="1292" w:type="dxa"/>
            <w:vMerge w:val="continue"/>
          </w:tcPr>
          <w:p w14:paraId="32AB2D0B"/>
        </w:tc>
        <w:tc>
          <w:tcPr>
            <w:tcW w:w="6875" w:type="dxa"/>
          </w:tcPr>
          <w:p w14:paraId="3A89C290">
            <w:pPr>
              <w:spacing w:line="360" w:lineRule="auto"/>
              <w:rPr>
                <w:rFonts w:hint="eastAsia" w:ascii="宋体" w:eastAsia="宋体" w:cs="宋体"/>
                <w:kern w:val="0"/>
                <w:sz w:val="21"/>
                <w:szCs w:val="21"/>
              </w:rPr>
            </w:pPr>
            <w:r>
              <w:rPr>
                <w:rFonts w:hint="eastAsia" w:ascii="宋体" w:eastAsia="宋体" w:cs="宋体"/>
                <w:kern w:val="0"/>
                <w:sz w:val="21"/>
                <w:szCs w:val="21"/>
              </w:rPr>
              <w:t>1.5不沉性：</w:t>
            </w:r>
            <w:r>
              <w:rPr>
                <w:rFonts w:hint="eastAsia" w:ascii="宋体" w:cs="宋体"/>
                <w:kern w:val="0"/>
                <w:sz w:val="21"/>
                <w:szCs w:val="21"/>
                <w:highlight w:val="none"/>
                <w:lang w:val="en-US" w:eastAsia="zh-CN"/>
              </w:rPr>
              <w:t>公务艇</w:t>
            </w:r>
            <w:r>
              <w:rPr>
                <w:rFonts w:hint="eastAsia" w:ascii="宋体" w:eastAsia="宋体" w:cs="宋体"/>
                <w:kern w:val="0"/>
                <w:sz w:val="21"/>
                <w:szCs w:val="21"/>
              </w:rPr>
              <w:t>需求的不沉性应满足中华人民共和国海事局《国内航行小型海船技术规则》（2024）对不沉性的要求。</w:t>
            </w:r>
          </w:p>
        </w:tc>
      </w:tr>
      <w:tr w14:paraId="6E489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707" w:type="dxa"/>
            <w:vMerge w:val="continue"/>
          </w:tcPr>
          <w:p w14:paraId="1F18B493"/>
        </w:tc>
        <w:tc>
          <w:tcPr>
            <w:tcW w:w="1292" w:type="dxa"/>
            <w:vMerge w:val="continue"/>
          </w:tcPr>
          <w:p w14:paraId="25564ACA"/>
        </w:tc>
        <w:tc>
          <w:tcPr>
            <w:tcW w:w="6875" w:type="dxa"/>
          </w:tcPr>
          <w:p w14:paraId="758F4980">
            <w:pPr>
              <w:spacing w:line="360" w:lineRule="auto"/>
              <w:rPr>
                <w:rFonts w:hint="eastAsia" w:ascii="宋体" w:eastAsia="宋体" w:cs="宋体"/>
                <w:kern w:val="0"/>
                <w:sz w:val="21"/>
                <w:szCs w:val="21"/>
              </w:rPr>
            </w:pPr>
            <w:r>
              <w:rPr>
                <w:rFonts w:hint="eastAsia" w:ascii="宋体" w:eastAsia="宋体" w:cs="宋体"/>
                <w:kern w:val="0"/>
                <w:sz w:val="21"/>
                <w:szCs w:val="21"/>
              </w:rPr>
              <w:t>2.总布置：</w:t>
            </w:r>
            <w:r>
              <w:rPr>
                <w:rFonts w:hint="eastAsia" w:ascii="宋体" w:cs="宋体"/>
                <w:kern w:val="0"/>
                <w:sz w:val="21"/>
                <w:szCs w:val="21"/>
                <w:highlight w:val="none"/>
                <w:lang w:val="en-US" w:eastAsia="zh-CN"/>
              </w:rPr>
              <w:t>公务艇</w:t>
            </w:r>
            <w:r>
              <w:rPr>
                <w:rFonts w:hint="eastAsia" w:ascii="宋体" w:eastAsia="宋体" w:cs="宋体"/>
                <w:kern w:val="0"/>
                <w:sz w:val="21"/>
                <w:szCs w:val="21"/>
              </w:rPr>
              <w:t>系自艏至艉连续甲板的敞开艇。</w:t>
            </w:r>
          </w:p>
        </w:tc>
      </w:tr>
      <w:tr w14:paraId="3CC3A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07" w:type="dxa"/>
            <w:vMerge w:val="continue"/>
          </w:tcPr>
          <w:p w14:paraId="55A80E32"/>
        </w:tc>
        <w:tc>
          <w:tcPr>
            <w:tcW w:w="1292" w:type="dxa"/>
            <w:vMerge w:val="continue"/>
          </w:tcPr>
          <w:p w14:paraId="6228999D"/>
        </w:tc>
        <w:tc>
          <w:tcPr>
            <w:tcW w:w="6875" w:type="dxa"/>
          </w:tcPr>
          <w:p w14:paraId="119413D2">
            <w:pPr>
              <w:spacing w:line="360" w:lineRule="auto"/>
              <w:rPr>
                <w:rFonts w:hint="eastAsia" w:ascii="宋体" w:eastAsia="宋体" w:cs="宋体"/>
                <w:kern w:val="0"/>
                <w:sz w:val="21"/>
                <w:szCs w:val="21"/>
              </w:rPr>
            </w:pPr>
            <w:r>
              <w:rPr>
                <w:rFonts w:ascii="宋体" w:eastAsia="宋体"/>
                <w:b/>
                <w:bCs/>
                <w:color w:val="auto"/>
                <w:szCs w:val="21"/>
              </w:rPr>
              <w:t>▲</w:t>
            </w:r>
            <w:r>
              <w:rPr>
                <w:rFonts w:hint="eastAsia" w:ascii="宋体" w:eastAsia="宋体" w:cs="宋体"/>
                <w:b/>
                <w:bCs/>
                <w:kern w:val="0"/>
                <w:sz w:val="21"/>
                <w:szCs w:val="21"/>
              </w:rPr>
              <w:t>2.1主艇体：（1）艇体和甲板间由3道水密舱壁和1道普通舱壁划分为5个舱室，由艉至艏依此为：尾舱、燃油舱、乘员驾驶舱（带遮阳蓬、挡风玻璃）艏尖舱。</w:t>
            </w:r>
          </w:p>
        </w:tc>
      </w:tr>
      <w:tr w14:paraId="29EB3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707" w:type="dxa"/>
            <w:vMerge w:val="continue"/>
          </w:tcPr>
          <w:p w14:paraId="0C588476"/>
        </w:tc>
        <w:tc>
          <w:tcPr>
            <w:tcW w:w="1292" w:type="dxa"/>
            <w:vMerge w:val="continue"/>
          </w:tcPr>
          <w:p w14:paraId="5A159221"/>
        </w:tc>
        <w:tc>
          <w:tcPr>
            <w:tcW w:w="6875" w:type="dxa"/>
          </w:tcPr>
          <w:p w14:paraId="0DE34693">
            <w:pPr>
              <w:spacing w:line="360" w:lineRule="auto"/>
              <w:rPr>
                <w:rFonts w:hint="eastAsia" w:ascii="宋体" w:eastAsia="宋体" w:cs="宋体"/>
                <w:kern w:val="0"/>
                <w:sz w:val="21"/>
                <w:szCs w:val="21"/>
              </w:rPr>
            </w:pPr>
            <w:r>
              <w:rPr>
                <w:rFonts w:hint="eastAsia" w:ascii="宋体" w:eastAsia="宋体" w:cs="宋体"/>
                <w:kern w:val="0"/>
                <w:sz w:val="21"/>
                <w:szCs w:val="21"/>
              </w:rPr>
              <w:t>2.2敞开甲板室</w:t>
            </w:r>
          </w:p>
          <w:p w14:paraId="4C94931B">
            <w:pPr>
              <w:spacing w:line="360" w:lineRule="auto"/>
              <w:rPr>
                <w:rFonts w:hint="eastAsia" w:ascii="宋体" w:eastAsia="宋体" w:cs="宋体"/>
                <w:kern w:val="0"/>
                <w:sz w:val="21"/>
                <w:szCs w:val="21"/>
              </w:rPr>
            </w:pPr>
            <w:r>
              <w:rPr>
                <w:rFonts w:hint="eastAsia" w:ascii="宋体" w:eastAsia="宋体" w:cs="宋体"/>
                <w:kern w:val="0"/>
                <w:sz w:val="21"/>
                <w:szCs w:val="21"/>
              </w:rPr>
              <w:t>（1）本艇甲板室为敞开艇，驾驶舱为敞开式，正副驾驶位置采用可骑马式减震座椅，驾驶舱后排作为均采用减震骑马座椅。</w:t>
            </w:r>
          </w:p>
        </w:tc>
      </w:tr>
      <w:tr w14:paraId="67950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707" w:type="dxa"/>
            <w:vMerge w:val="continue"/>
          </w:tcPr>
          <w:p w14:paraId="41687CA9"/>
        </w:tc>
        <w:tc>
          <w:tcPr>
            <w:tcW w:w="1292" w:type="dxa"/>
            <w:vMerge w:val="continue"/>
          </w:tcPr>
          <w:p w14:paraId="76F20B44"/>
        </w:tc>
        <w:tc>
          <w:tcPr>
            <w:tcW w:w="6875" w:type="dxa"/>
          </w:tcPr>
          <w:p w14:paraId="55BE5864">
            <w:pPr>
              <w:spacing w:line="360" w:lineRule="auto"/>
              <w:rPr>
                <w:rFonts w:hint="eastAsia" w:ascii="宋体" w:eastAsia="宋体" w:cs="宋体"/>
                <w:kern w:val="0"/>
                <w:sz w:val="21"/>
                <w:szCs w:val="21"/>
              </w:rPr>
            </w:pPr>
            <w:r>
              <w:rPr>
                <w:rFonts w:hint="eastAsia" w:ascii="宋体" w:eastAsia="宋体" w:cs="宋体"/>
                <w:kern w:val="0"/>
                <w:sz w:val="21"/>
                <w:szCs w:val="21"/>
              </w:rPr>
              <w:t>2.3主甲板面</w:t>
            </w:r>
          </w:p>
          <w:p w14:paraId="09A6CDED">
            <w:pPr>
              <w:spacing w:line="360" w:lineRule="auto"/>
              <w:rPr>
                <w:rFonts w:hint="eastAsia" w:ascii="宋体" w:eastAsia="宋体" w:cs="宋体"/>
                <w:kern w:val="0"/>
                <w:sz w:val="21"/>
                <w:szCs w:val="21"/>
              </w:rPr>
            </w:pPr>
            <w:r>
              <w:rPr>
                <w:rFonts w:hint="eastAsia" w:ascii="宋体" w:eastAsia="宋体" w:cs="宋体"/>
                <w:kern w:val="0"/>
                <w:sz w:val="21"/>
                <w:szCs w:val="21"/>
              </w:rPr>
              <w:t>（1）</w:t>
            </w:r>
            <w:r>
              <w:rPr>
                <w:rFonts w:hint="eastAsia" w:ascii="宋体" w:cs="宋体"/>
                <w:kern w:val="0"/>
                <w:sz w:val="21"/>
                <w:szCs w:val="21"/>
                <w:highlight w:val="none"/>
                <w:lang w:val="en-US" w:eastAsia="zh-CN"/>
              </w:rPr>
              <w:t>公务艇</w:t>
            </w:r>
            <w:r>
              <w:rPr>
                <w:rFonts w:hint="eastAsia" w:ascii="宋体" w:eastAsia="宋体" w:cs="宋体"/>
                <w:kern w:val="0"/>
                <w:sz w:val="21"/>
                <w:szCs w:val="21"/>
              </w:rPr>
              <w:t>舱室为下沉式敞开甲板，舱室中间设7张座椅；</w:t>
            </w:r>
          </w:p>
          <w:p w14:paraId="76E5B5A4">
            <w:pPr>
              <w:spacing w:line="360" w:lineRule="auto"/>
              <w:rPr>
                <w:rFonts w:hint="eastAsia" w:ascii="宋体" w:eastAsia="宋体" w:cs="宋体"/>
                <w:kern w:val="0"/>
                <w:sz w:val="21"/>
                <w:szCs w:val="21"/>
              </w:rPr>
            </w:pPr>
            <w:r>
              <w:rPr>
                <w:rFonts w:hint="eastAsia" w:ascii="宋体" w:eastAsia="宋体" w:cs="宋体"/>
                <w:kern w:val="0"/>
                <w:sz w:val="21"/>
                <w:szCs w:val="21"/>
              </w:rPr>
              <w:t>（2）甲板艉部设机舱挂机，四周设缆桩、扶栏、旗杆和平台等。</w:t>
            </w:r>
          </w:p>
        </w:tc>
      </w:tr>
      <w:tr w14:paraId="18AFC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07" w:type="dxa"/>
            <w:vMerge w:val="continue"/>
          </w:tcPr>
          <w:p w14:paraId="1BDFB11E"/>
        </w:tc>
        <w:tc>
          <w:tcPr>
            <w:tcW w:w="1292" w:type="dxa"/>
            <w:vMerge w:val="continue"/>
          </w:tcPr>
          <w:p w14:paraId="14EF8ED5"/>
        </w:tc>
        <w:tc>
          <w:tcPr>
            <w:tcW w:w="6875" w:type="dxa"/>
          </w:tcPr>
          <w:p w14:paraId="30BB7354">
            <w:pPr>
              <w:spacing w:line="360" w:lineRule="auto"/>
              <w:rPr>
                <w:rFonts w:hint="eastAsia" w:ascii="宋体" w:eastAsia="宋体" w:cs="宋体"/>
                <w:kern w:val="0"/>
                <w:sz w:val="21"/>
                <w:szCs w:val="21"/>
              </w:rPr>
            </w:pPr>
            <w:r>
              <w:rPr>
                <w:rFonts w:hint="eastAsia" w:ascii="宋体" w:eastAsia="宋体" w:cs="宋体"/>
                <w:kern w:val="0"/>
                <w:sz w:val="21"/>
                <w:szCs w:val="21"/>
              </w:rPr>
              <w:t>2.4甲板室顶蓬</w:t>
            </w:r>
          </w:p>
          <w:p w14:paraId="719AA819">
            <w:pPr>
              <w:spacing w:line="360" w:lineRule="auto"/>
              <w:rPr>
                <w:rFonts w:hint="eastAsia" w:ascii="宋体" w:eastAsia="宋体" w:cs="宋体"/>
                <w:kern w:val="0"/>
                <w:sz w:val="21"/>
                <w:szCs w:val="21"/>
              </w:rPr>
            </w:pPr>
            <w:r>
              <w:rPr>
                <w:rFonts w:hint="eastAsia" w:ascii="宋体" w:eastAsia="宋体" w:cs="宋体"/>
                <w:kern w:val="0"/>
                <w:sz w:val="21"/>
                <w:szCs w:val="21"/>
              </w:rPr>
              <w:t>遮阳顶蓬前端设搜索灯、左右舷灯，顶蓬中后部设铝制桅杆，架上设有雷达天线、避雷针等。</w:t>
            </w:r>
          </w:p>
        </w:tc>
      </w:tr>
      <w:tr w14:paraId="7B41A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707" w:type="dxa"/>
            <w:vMerge w:val="continue"/>
          </w:tcPr>
          <w:p w14:paraId="2001F616"/>
        </w:tc>
        <w:tc>
          <w:tcPr>
            <w:tcW w:w="1292" w:type="dxa"/>
            <w:vMerge w:val="continue"/>
          </w:tcPr>
          <w:p w14:paraId="66B48B95"/>
        </w:tc>
        <w:tc>
          <w:tcPr>
            <w:tcW w:w="6875" w:type="dxa"/>
          </w:tcPr>
          <w:p w14:paraId="6CE3E8F7">
            <w:pPr>
              <w:spacing w:line="360" w:lineRule="auto"/>
              <w:rPr>
                <w:rFonts w:hint="eastAsia" w:ascii="宋体" w:eastAsia="宋体" w:cs="宋体"/>
                <w:b/>
                <w:bCs/>
                <w:kern w:val="0"/>
                <w:sz w:val="21"/>
                <w:szCs w:val="21"/>
              </w:rPr>
            </w:pPr>
            <w:r>
              <w:rPr>
                <w:rFonts w:ascii="宋体" w:eastAsia="宋体"/>
                <w:b/>
                <w:bCs/>
                <w:color w:val="auto"/>
                <w:szCs w:val="21"/>
              </w:rPr>
              <w:t>▲</w:t>
            </w:r>
            <w:r>
              <w:rPr>
                <w:rFonts w:hint="eastAsia" w:ascii="宋体" w:eastAsia="宋体" w:cs="宋体"/>
                <w:b/>
                <w:bCs/>
                <w:kern w:val="0"/>
                <w:sz w:val="21"/>
                <w:szCs w:val="21"/>
              </w:rPr>
              <w:t>3.船体结构及材料</w:t>
            </w:r>
          </w:p>
          <w:p w14:paraId="731A37F2">
            <w:pPr>
              <w:spacing w:line="360" w:lineRule="auto"/>
              <w:rPr>
                <w:rFonts w:hint="eastAsia" w:ascii="宋体" w:eastAsia="宋体" w:cs="宋体"/>
                <w:b/>
                <w:bCs/>
                <w:kern w:val="0"/>
                <w:sz w:val="21"/>
                <w:szCs w:val="21"/>
              </w:rPr>
            </w:pPr>
            <w:r>
              <w:rPr>
                <w:rFonts w:hint="eastAsia" w:ascii="宋体" w:eastAsia="宋体" w:cs="宋体"/>
                <w:b/>
                <w:bCs/>
                <w:kern w:val="0"/>
                <w:sz w:val="21"/>
                <w:szCs w:val="21"/>
              </w:rPr>
              <w:t>（1）全艇为全焊接铝合金结构；铝合金板材为5083H116型，铝合金型材为6082T6。</w:t>
            </w:r>
          </w:p>
          <w:p w14:paraId="2F512414">
            <w:pPr>
              <w:spacing w:line="360" w:lineRule="auto"/>
              <w:rPr>
                <w:rFonts w:hint="eastAsia" w:ascii="宋体" w:eastAsia="宋体" w:cs="宋体"/>
                <w:kern w:val="0"/>
                <w:sz w:val="21"/>
                <w:szCs w:val="21"/>
              </w:rPr>
            </w:pPr>
            <w:r>
              <w:rPr>
                <w:rFonts w:hint="eastAsia" w:ascii="宋体" w:eastAsia="宋体" w:cs="宋体"/>
                <w:b/>
                <w:bCs/>
                <w:kern w:val="0"/>
                <w:sz w:val="21"/>
                <w:szCs w:val="21"/>
              </w:rPr>
              <w:t>（2）</w:t>
            </w:r>
            <w:r>
              <w:rPr>
                <w:rFonts w:hint="eastAsia" w:ascii="宋体" w:cs="宋体"/>
                <w:b/>
                <w:bCs/>
                <w:kern w:val="0"/>
                <w:sz w:val="21"/>
                <w:szCs w:val="21"/>
                <w:highlight w:val="none"/>
                <w:lang w:val="en-US" w:eastAsia="zh-CN"/>
              </w:rPr>
              <w:t>公务艇</w:t>
            </w:r>
            <w:r>
              <w:rPr>
                <w:rFonts w:hint="eastAsia" w:ascii="宋体" w:eastAsia="宋体" w:cs="宋体"/>
                <w:b/>
                <w:bCs/>
                <w:kern w:val="0"/>
                <w:sz w:val="21"/>
                <w:szCs w:val="21"/>
              </w:rPr>
              <w:t>主艇体为纵骨架式结构。</w:t>
            </w:r>
          </w:p>
        </w:tc>
      </w:tr>
      <w:tr w14:paraId="00A53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707" w:type="dxa"/>
            <w:vMerge w:val="continue"/>
          </w:tcPr>
          <w:p w14:paraId="16DC9189"/>
        </w:tc>
        <w:tc>
          <w:tcPr>
            <w:tcW w:w="1292" w:type="dxa"/>
            <w:vMerge w:val="continue"/>
          </w:tcPr>
          <w:p w14:paraId="6C6217C3"/>
        </w:tc>
        <w:tc>
          <w:tcPr>
            <w:tcW w:w="6875" w:type="dxa"/>
          </w:tcPr>
          <w:p w14:paraId="1B93D885">
            <w:pPr>
              <w:spacing w:line="360" w:lineRule="auto"/>
              <w:rPr>
                <w:rFonts w:hint="eastAsia" w:ascii="宋体" w:eastAsia="宋体" w:cs="宋体"/>
                <w:b/>
                <w:bCs/>
                <w:kern w:val="0"/>
                <w:sz w:val="21"/>
                <w:szCs w:val="21"/>
              </w:rPr>
            </w:pPr>
            <w:r>
              <w:rPr>
                <w:rFonts w:ascii="宋体" w:eastAsia="宋体"/>
                <w:b/>
                <w:bCs/>
                <w:color w:val="auto"/>
                <w:szCs w:val="21"/>
              </w:rPr>
              <w:t>▲</w:t>
            </w:r>
            <w:r>
              <w:rPr>
                <w:rFonts w:hint="eastAsia" w:ascii="宋体" w:eastAsia="宋体" w:cs="宋体"/>
                <w:b/>
                <w:bCs/>
                <w:kern w:val="0"/>
                <w:sz w:val="21"/>
                <w:szCs w:val="21"/>
              </w:rPr>
              <w:t>4.船舶舾装</w:t>
            </w:r>
          </w:p>
          <w:p w14:paraId="38A67F92">
            <w:pPr>
              <w:spacing w:line="360" w:lineRule="auto"/>
              <w:rPr>
                <w:rFonts w:hint="eastAsia" w:ascii="宋体" w:eastAsia="宋体" w:cs="宋体"/>
                <w:b/>
                <w:bCs/>
                <w:kern w:val="0"/>
                <w:sz w:val="21"/>
                <w:szCs w:val="21"/>
              </w:rPr>
            </w:pPr>
            <w:r>
              <w:rPr>
                <w:rFonts w:hint="eastAsia" w:ascii="宋体" w:eastAsia="宋体" w:cs="宋体"/>
                <w:b/>
                <w:bCs/>
                <w:kern w:val="0"/>
                <w:sz w:val="21"/>
                <w:szCs w:val="21"/>
              </w:rPr>
              <w:t xml:space="preserve">（1）锚设备：船艏配 </w:t>
            </w:r>
            <w:r>
              <w:rPr>
                <w:rFonts w:hint="eastAsia" w:ascii="宋体" w:cs="宋体"/>
                <w:b/>
                <w:bCs/>
                <w:kern w:val="0"/>
                <w:sz w:val="21"/>
                <w:szCs w:val="21"/>
                <w:lang w:val="en-US" w:eastAsia="zh-CN"/>
              </w:rPr>
              <w:t>不少于</w:t>
            </w:r>
            <w:r>
              <w:rPr>
                <w:rFonts w:hint="eastAsia" w:ascii="宋体" w:eastAsia="宋体" w:cs="宋体"/>
                <w:b/>
                <w:bCs/>
                <w:kern w:val="0"/>
                <w:sz w:val="21"/>
                <w:szCs w:val="21"/>
              </w:rPr>
              <w:t>12kg 大抓力锚 1 口，锚绳选用φ22mm 锦纶纤维锚索，长≥ 84m，航行时置于艏尖舱内。</w:t>
            </w:r>
          </w:p>
          <w:p w14:paraId="456B68B2">
            <w:pPr>
              <w:spacing w:line="360" w:lineRule="auto"/>
              <w:rPr>
                <w:rFonts w:hint="eastAsia" w:ascii="宋体" w:eastAsia="宋体" w:cs="宋体"/>
                <w:b/>
                <w:bCs/>
                <w:kern w:val="0"/>
                <w:sz w:val="21"/>
                <w:szCs w:val="21"/>
              </w:rPr>
            </w:pPr>
            <w:r>
              <w:rPr>
                <w:rFonts w:hint="eastAsia" w:ascii="宋体" w:eastAsia="宋体" w:cs="宋体"/>
                <w:b/>
                <w:bCs/>
                <w:kern w:val="0"/>
                <w:sz w:val="21"/>
                <w:szCs w:val="21"/>
              </w:rPr>
              <w:t>（2）系泊设备：本艇艏艉两侧共装有铝合金单V字型系缆桩4只。首部配单十字缆桩1支。同时配备4个防碰球。</w:t>
            </w:r>
          </w:p>
          <w:p w14:paraId="1EDD5625">
            <w:pPr>
              <w:spacing w:line="360" w:lineRule="auto"/>
              <w:rPr>
                <w:rFonts w:hint="eastAsia" w:ascii="宋体" w:eastAsia="宋体" w:cs="宋体"/>
                <w:kern w:val="0"/>
                <w:sz w:val="21"/>
                <w:szCs w:val="21"/>
              </w:rPr>
            </w:pPr>
            <w:r>
              <w:rPr>
                <w:rFonts w:hint="eastAsia" w:ascii="宋体" w:eastAsia="宋体" w:cs="宋体"/>
                <w:b/>
                <w:bCs/>
                <w:kern w:val="0"/>
                <w:sz w:val="21"/>
                <w:szCs w:val="21"/>
              </w:rPr>
              <w:t>配有φ22mm（破断负荷为</w:t>
            </w:r>
            <w:r>
              <w:rPr>
                <w:rFonts w:hint="eastAsia" w:ascii="宋体" w:cs="宋体"/>
                <w:b/>
                <w:bCs/>
                <w:kern w:val="0"/>
                <w:sz w:val="21"/>
                <w:szCs w:val="21"/>
                <w:lang w:val="en-US" w:eastAsia="zh-CN"/>
              </w:rPr>
              <w:t>不少于</w:t>
            </w:r>
            <w:r>
              <w:rPr>
                <w:rFonts w:hint="eastAsia" w:ascii="宋体" w:eastAsia="宋体" w:cs="宋体"/>
                <w:b/>
                <w:bCs/>
                <w:kern w:val="0"/>
                <w:sz w:val="21"/>
                <w:szCs w:val="21"/>
              </w:rPr>
              <w:t xml:space="preserve"> 51.9KN)锦纶系船索 2 根，每根长 25m，总长 50m。艏柱设拖环1 只。</w:t>
            </w:r>
          </w:p>
        </w:tc>
      </w:tr>
      <w:tr w14:paraId="23DE5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7" w:type="dxa"/>
            <w:vMerge w:val="continue"/>
          </w:tcPr>
          <w:p w14:paraId="03CF0671"/>
        </w:tc>
        <w:tc>
          <w:tcPr>
            <w:tcW w:w="1292" w:type="dxa"/>
            <w:vMerge w:val="continue"/>
          </w:tcPr>
          <w:p w14:paraId="4CC026FB"/>
        </w:tc>
        <w:tc>
          <w:tcPr>
            <w:tcW w:w="6875" w:type="dxa"/>
          </w:tcPr>
          <w:p w14:paraId="567CF462">
            <w:pPr>
              <w:spacing w:line="360" w:lineRule="auto"/>
              <w:rPr>
                <w:rFonts w:hint="eastAsia" w:ascii="宋体" w:eastAsia="宋体" w:cs="宋体"/>
                <w:kern w:val="0"/>
                <w:sz w:val="21"/>
                <w:szCs w:val="21"/>
              </w:rPr>
            </w:pPr>
            <w:r>
              <w:rPr>
                <w:rFonts w:hint="eastAsia" w:ascii="宋体" w:eastAsia="宋体" w:cs="宋体"/>
                <w:kern w:val="0"/>
                <w:sz w:val="21"/>
                <w:szCs w:val="21"/>
              </w:rPr>
              <w:t>5.舱面属具</w:t>
            </w:r>
          </w:p>
          <w:p w14:paraId="0130C42F">
            <w:pPr>
              <w:spacing w:line="360" w:lineRule="auto"/>
              <w:rPr>
                <w:rFonts w:hint="eastAsia" w:ascii="宋体" w:eastAsia="宋体" w:cs="宋体"/>
                <w:kern w:val="0"/>
                <w:sz w:val="21"/>
                <w:szCs w:val="21"/>
              </w:rPr>
            </w:pPr>
            <w:r>
              <w:rPr>
                <w:rFonts w:hint="eastAsia" w:ascii="宋体" w:eastAsia="宋体" w:cs="宋体"/>
                <w:kern w:val="0"/>
                <w:sz w:val="21"/>
                <w:szCs w:val="21"/>
              </w:rPr>
              <w:t>（1）艏尖舱及机舱各设水密舱口盖 1 个。</w:t>
            </w:r>
          </w:p>
          <w:p w14:paraId="518B2B61">
            <w:pPr>
              <w:spacing w:line="360" w:lineRule="auto"/>
              <w:rPr>
                <w:rFonts w:hint="eastAsia" w:ascii="宋体" w:eastAsia="宋体" w:cs="宋体"/>
                <w:kern w:val="0"/>
                <w:sz w:val="21"/>
                <w:szCs w:val="21"/>
              </w:rPr>
            </w:pPr>
            <w:r>
              <w:rPr>
                <w:rFonts w:hint="eastAsia" w:ascii="宋体" w:eastAsia="宋体" w:cs="宋体"/>
                <w:kern w:val="0"/>
                <w:sz w:val="21"/>
                <w:szCs w:val="21"/>
              </w:rPr>
              <w:t>（2）船尾部及艏部根据客户要求可设有</w:t>
            </w:r>
            <w:r>
              <w:rPr>
                <w:rFonts w:hint="eastAsia" w:ascii="宋体" w:cs="宋体"/>
                <w:kern w:val="0"/>
                <w:sz w:val="21"/>
                <w:szCs w:val="21"/>
                <w:lang w:val="en-US" w:eastAsia="zh-CN"/>
              </w:rPr>
              <w:t>不少于</w:t>
            </w:r>
            <w:r>
              <w:rPr>
                <w:rFonts w:hint="eastAsia" w:ascii="宋体" w:eastAsia="宋体" w:cs="宋体"/>
                <w:kern w:val="0"/>
                <w:sz w:val="21"/>
                <w:szCs w:val="21"/>
              </w:rPr>
              <w:t xml:space="preserve"> 900mm 高的铝合金护栏。露天甲板采用防滑砂，栏杆、扶手、把手、螺丝、螺母等零部件均采用铝合金材质。</w:t>
            </w:r>
          </w:p>
          <w:p w14:paraId="2956ECAA">
            <w:pPr>
              <w:spacing w:line="360" w:lineRule="auto"/>
              <w:rPr>
                <w:rFonts w:hint="eastAsia" w:ascii="宋体" w:eastAsia="宋体" w:cs="宋体"/>
                <w:kern w:val="0"/>
                <w:sz w:val="21"/>
                <w:szCs w:val="21"/>
              </w:rPr>
            </w:pPr>
            <w:r>
              <w:rPr>
                <w:rFonts w:hint="eastAsia" w:ascii="宋体" w:eastAsia="宋体" w:cs="宋体"/>
                <w:kern w:val="0"/>
                <w:sz w:val="21"/>
                <w:szCs w:val="21"/>
              </w:rPr>
              <w:t>（3）</w:t>
            </w:r>
            <w:r>
              <w:rPr>
                <w:rFonts w:hint="eastAsia" w:ascii="宋体" w:cs="宋体"/>
                <w:kern w:val="0"/>
                <w:sz w:val="21"/>
                <w:szCs w:val="21"/>
                <w:highlight w:val="none"/>
                <w:lang w:val="en-US" w:eastAsia="zh-CN"/>
              </w:rPr>
              <w:t>公务艇</w:t>
            </w:r>
            <w:r>
              <w:rPr>
                <w:rFonts w:hint="eastAsia" w:ascii="宋体" w:eastAsia="宋体" w:cs="宋体"/>
                <w:kern w:val="0"/>
                <w:sz w:val="21"/>
                <w:szCs w:val="21"/>
              </w:rPr>
              <w:t>顶部灯桅及天线为可倒式。</w:t>
            </w:r>
          </w:p>
          <w:p w14:paraId="6A2F495F">
            <w:pPr>
              <w:spacing w:line="360" w:lineRule="auto"/>
              <w:rPr>
                <w:rFonts w:hint="eastAsia" w:ascii="宋体" w:eastAsia="宋体" w:cs="宋体"/>
                <w:kern w:val="0"/>
                <w:sz w:val="21"/>
                <w:szCs w:val="21"/>
              </w:rPr>
            </w:pPr>
            <w:r>
              <w:rPr>
                <w:rFonts w:hint="eastAsia" w:ascii="宋体" w:eastAsia="宋体" w:cs="宋体"/>
                <w:kern w:val="0"/>
                <w:sz w:val="21"/>
                <w:szCs w:val="21"/>
              </w:rPr>
              <w:t>（4）</w:t>
            </w:r>
            <w:r>
              <w:rPr>
                <w:rFonts w:hint="eastAsia" w:ascii="宋体" w:cs="宋体"/>
                <w:kern w:val="0"/>
                <w:sz w:val="21"/>
                <w:szCs w:val="21"/>
                <w:highlight w:val="none"/>
                <w:lang w:val="en-US" w:eastAsia="zh-CN"/>
              </w:rPr>
              <w:t>公务艇</w:t>
            </w:r>
            <w:r>
              <w:rPr>
                <w:rFonts w:hint="eastAsia" w:ascii="宋体" w:eastAsia="宋体" w:cs="宋体"/>
                <w:kern w:val="0"/>
                <w:sz w:val="21"/>
                <w:szCs w:val="21"/>
              </w:rPr>
              <w:t>船艏两侧部位采用铝制防撞条。</w:t>
            </w:r>
          </w:p>
          <w:p w14:paraId="7C6E890F">
            <w:pPr>
              <w:spacing w:line="360" w:lineRule="auto"/>
              <w:rPr>
                <w:rFonts w:hint="eastAsia" w:ascii="宋体" w:eastAsia="宋体" w:cs="宋体"/>
                <w:kern w:val="0"/>
                <w:sz w:val="21"/>
                <w:szCs w:val="21"/>
              </w:rPr>
            </w:pPr>
            <w:r>
              <w:rPr>
                <w:rFonts w:hint="eastAsia" w:ascii="宋体" w:eastAsia="宋体" w:cs="宋体"/>
                <w:kern w:val="0"/>
                <w:sz w:val="21"/>
                <w:szCs w:val="21"/>
              </w:rPr>
              <w:t>（5）</w:t>
            </w:r>
            <w:r>
              <w:rPr>
                <w:rFonts w:hint="eastAsia" w:ascii="宋体" w:cs="宋体"/>
                <w:kern w:val="0"/>
                <w:sz w:val="21"/>
                <w:szCs w:val="21"/>
                <w:highlight w:val="none"/>
                <w:lang w:val="en-US" w:eastAsia="zh-CN"/>
              </w:rPr>
              <w:t>公务艇</w:t>
            </w:r>
            <w:r>
              <w:rPr>
                <w:rFonts w:hint="eastAsia" w:ascii="宋体" w:eastAsia="宋体" w:cs="宋体"/>
                <w:kern w:val="0"/>
                <w:sz w:val="21"/>
                <w:szCs w:val="21"/>
              </w:rPr>
              <w:t>设长排警灯一套，控制器在驾控台。</w:t>
            </w:r>
          </w:p>
        </w:tc>
      </w:tr>
      <w:tr w14:paraId="6B9A8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7" w:type="dxa"/>
            <w:vMerge w:val="continue"/>
          </w:tcPr>
          <w:p w14:paraId="7B19D04F"/>
        </w:tc>
        <w:tc>
          <w:tcPr>
            <w:tcW w:w="1292" w:type="dxa"/>
            <w:vMerge w:val="continue"/>
          </w:tcPr>
          <w:p w14:paraId="58E97FA2"/>
        </w:tc>
        <w:tc>
          <w:tcPr>
            <w:tcW w:w="6875" w:type="dxa"/>
          </w:tcPr>
          <w:p w14:paraId="3C6988C3">
            <w:pPr>
              <w:spacing w:line="360" w:lineRule="auto"/>
              <w:rPr>
                <w:rFonts w:hint="eastAsia" w:ascii="宋体" w:eastAsia="宋体" w:cs="宋体"/>
                <w:kern w:val="0"/>
                <w:sz w:val="21"/>
                <w:szCs w:val="21"/>
              </w:rPr>
            </w:pPr>
            <w:r>
              <w:rPr>
                <w:rFonts w:hint="eastAsia" w:ascii="宋体" w:eastAsia="宋体" w:cs="宋体"/>
                <w:kern w:val="0"/>
                <w:sz w:val="21"/>
                <w:szCs w:val="21"/>
              </w:rPr>
              <w:t>6.救生消防设备</w:t>
            </w:r>
          </w:p>
          <w:p w14:paraId="55EA675F">
            <w:pPr>
              <w:spacing w:line="360" w:lineRule="auto"/>
              <w:rPr>
                <w:rFonts w:hint="eastAsia" w:ascii="宋体" w:eastAsia="宋体" w:cs="宋体"/>
                <w:kern w:val="0"/>
                <w:sz w:val="21"/>
                <w:szCs w:val="21"/>
              </w:rPr>
            </w:pPr>
            <w:r>
              <w:rPr>
                <w:rFonts w:hint="eastAsia" w:ascii="宋体" w:eastAsia="宋体" w:cs="宋体"/>
                <w:kern w:val="0"/>
                <w:sz w:val="21"/>
                <w:szCs w:val="21"/>
              </w:rPr>
              <w:t>（1）</w:t>
            </w:r>
            <w:r>
              <w:rPr>
                <w:rFonts w:hint="eastAsia" w:ascii="宋体" w:cs="宋体"/>
                <w:kern w:val="0"/>
                <w:sz w:val="21"/>
                <w:szCs w:val="21"/>
                <w:highlight w:val="none"/>
                <w:lang w:val="en-US" w:eastAsia="zh-CN"/>
              </w:rPr>
              <w:t>公务艇</w:t>
            </w:r>
            <w:r>
              <w:rPr>
                <w:rFonts w:hint="eastAsia" w:ascii="宋体" w:eastAsia="宋体" w:cs="宋体"/>
                <w:kern w:val="0"/>
                <w:sz w:val="21"/>
                <w:szCs w:val="21"/>
              </w:rPr>
              <w:t>配有乘员救生衣共7件，安放在座椅底下，所有救生衣均带有救生衣灯。带有30m长救生浮索救生圈2只，悬挂在甲板遮阳棚侧栏杆上。或按实际规范要配备即可。</w:t>
            </w:r>
          </w:p>
          <w:p w14:paraId="7CE41B2C">
            <w:pPr>
              <w:spacing w:line="360" w:lineRule="auto"/>
              <w:rPr>
                <w:rFonts w:hint="eastAsia" w:ascii="宋体" w:eastAsia="宋体" w:cs="宋体"/>
                <w:kern w:val="0"/>
                <w:sz w:val="21"/>
                <w:szCs w:val="21"/>
              </w:rPr>
            </w:pPr>
            <w:r>
              <w:rPr>
                <w:rFonts w:hint="eastAsia" w:ascii="宋体" w:eastAsia="宋体" w:cs="宋体"/>
                <w:kern w:val="0"/>
                <w:sz w:val="21"/>
                <w:szCs w:val="21"/>
              </w:rPr>
              <w:t>（2）</w:t>
            </w:r>
            <w:r>
              <w:rPr>
                <w:rFonts w:hint="eastAsia" w:ascii="宋体" w:cs="宋体"/>
                <w:kern w:val="0"/>
                <w:sz w:val="21"/>
                <w:szCs w:val="21"/>
                <w:highlight w:val="none"/>
                <w:lang w:val="en-US" w:eastAsia="zh-CN"/>
              </w:rPr>
              <w:t>公务艇</w:t>
            </w:r>
            <w:r>
              <w:rPr>
                <w:rFonts w:hint="eastAsia" w:ascii="宋体" w:eastAsia="宋体" w:cs="宋体"/>
                <w:kern w:val="0"/>
                <w:sz w:val="21"/>
                <w:szCs w:val="21"/>
              </w:rPr>
              <w:t>在艏舱和乘员驾驶舱各配手提式5kg干粉灭火器3个，配手提式5kg二氧化碳灭火器1个；太平斧1把，带绳消防桶1只。或按实际规范要配备即可。</w:t>
            </w:r>
          </w:p>
          <w:p w14:paraId="6B93D501">
            <w:pPr>
              <w:spacing w:line="360" w:lineRule="auto"/>
              <w:rPr>
                <w:rFonts w:hint="eastAsia" w:ascii="宋体" w:eastAsia="宋体" w:cs="宋体"/>
                <w:kern w:val="0"/>
                <w:sz w:val="21"/>
                <w:szCs w:val="21"/>
              </w:rPr>
            </w:pPr>
            <w:r>
              <w:rPr>
                <w:rFonts w:hint="eastAsia" w:ascii="宋体" w:eastAsia="宋体" w:cs="宋体"/>
                <w:kern w:val="0"/>
                <w:sz w:val="21"/>
                <w:szCs w:val="21"/>
              </w:rPr>
              <w:t>（4）遇险信号：配有6支降落伞火箭信号。以上具体以规范要求配备为准。或按实际规范要配备即可。</w:t>
            </w:r>
          </w:p>
        </w:tc>
      </w:tr>
      <w:tr w14:paraId="24951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707" w:type="dxa"/>
            <w:vMerge w:val="continue"/>
          </w:tcPr>
          <w:p w14:paraId="6D915788"/>
        </w:tc>
        <w:tc>
          <w:tcPr>
            <w:tcW w:w="1292" w:type="dxa"/>
            <w:vMerge w:val="continue"/>
          </w:tcPr>
          <w:p w14:paraId="304A3874"/>
        </w:tc>
        <w:tc>
          <w:tcPr>
            <w:tcW w:w="6875" w:type="dxa"/>
          </w:tcPr>
          <w:p w14:paraId="46ACE7D4">
            <w:pPr>
              <w:spacing w:line="360" w:lineRule="auto"/>
              <w:rPr>
                <w:rFonts w:hint="eastAsia" w:ascii="宋体" w:eastAsia="宋体" w:cs="宋体"/>
                <w:kern w:val="0"/>
                <w:sz w:val="21"/>
                <w:szCs w:val="21"/>
              </w:rPr>
            </w:pPr>
            <w:r>
              <w:rPr>
                <w:rFonts w:hint="eastAsia" w:ascii="宋体" w:eastAsia="宋体" w:cs="宋体"/>
                <w:kern w:val="0"/>
                <w:sz w:val="21"/>
                <w:szCs w:val="21"/>
              </w:rPr>
              <w:t>（二）、轮机部分</w:t>
            </w:r>
          </w:p>
          <w:p w14:paraId="7A72B34B">
            <w:pPr>
              <w:spacing w:line="360" w:lineRule="auto"/>
              <w:rPr>
                <w:rFonts w:hint="eastAsia" w:ascii="宋体" w:eastAsia="宋体" w:cs="宋体"/>
                <w:b/>
                <w:bCs/>
                <w:kern w:val="0"/>
                <w:sz w:val="21"/>
                <w:szCs w:val="21"/>
                <w:highlight w:val="yellow"/>
              </w:rPr>
            </w:pPr>
            <w:r>
              <w:rPr>
                <w:rFonts w:hint="eastAsia" w:ascii="宋体" w:eastAsia="宋体" w:cs="宋体"/>
                <w:b/>
                <w:bCs/>
                <w:kern w:val="0"/>
                <w:sz w:val="21"/>
                <w:szCs w:val="21"/>
                <w:highlight w:val="yellow"/>
              </w:rPr>
              <w:t>★1.主机及推进装置</w:t>
            </w:r>
          </w:p>
          <w:p w14:paraId="1B31F471">
            <w:pPr>
              <w:spacing w:line="360" w:lineRule="auto"/>
              <w:rPr>
                <w:rFonts w:hint="eastAsia" w:ascii="宋体" w:eastAsia="宋体" w:cs="宋体"/>
                <w:kern w:val="0"/>
                <w:sz w:val="21"/>
                <w:szCs w:val="21"/>
              </w:rPr>
            </w:pPr>
            <w:r>
              <w:rPr>
                <w:rFonts w:hint="eastAsia" w:ascii="宋体" w:eastAsia="宋体" w:cs="宋体"/>
                <w:b/>
                <w:bCs/>
                <w:kern w:val="0"/>
                <w:sz w:val="21"/>
                <w:szCs w:val="21"/>
                <w:highlight w:val="yellow"/>
              </w:rPr>
              <w:t>采用四冲程汽油外挂机，总功率：不低于</w:t>
            </w:r>
            <w:r>
              <w:rPr>
                <w:rFonts w:hint="eastAsia" w:ascii="宋体" w:cs="宋体"/>
                <w:b/>
                <w:bCs/>
                <w:kern w:val="0"/>
                <w:sz w:val="21"/>
                <w:szCs w:val="21"/>
                <w:highlight w:val="yellow"/>
                <w:lang w:val="en-US" w:eastAsia="zh-CN"/>
              </w:rPr>
              <w:t>7</w:t>
            </w:r>
            <w:r>
              <w:rPr>
                <w:rFonts w:hint="eastAsia" w:ascii="宋体" w:eastAsia="宋体" w:cs="宋体"/>
                <w:b/>
                <w:bCs/>
                <w:kern w:val="0"/>
                <w:sz w:val="21"/>
                <w:szCs w:val="21"/>
                <w:highlight w:val="yellow"/>
              </w:rPr>
              <w:t>00 HP，启动/控制：DC12V电启动/电控，</w:t>
            </w:r>
            <w:r>
              <w:rPr>
                <w:rFonts w:hint="eastAsia" w:ascii="宋体" w:cs="宋体"/>
                <w:b/>
                <w:bCs/>
                <w:kern w:val="0"/>
                <w:szCs w:val="21"/>
                <w:highlight w:val="yellow"/>
                <w:lang w:val="en-US" w:eastAsia="zh-CN"/>
              </w:rPr>
              <w:t>所投船艇发动机须具备中华人民共和国海事局认可的船舶检验机构签发的船用产品检验合格证书，检验机构包括但不限于中国船级社（CCS）、各地方船舶检验机构（ZC）等，验收时须提供满足要求的检验合格证书</w:t>
            </w:r>
            <w:r>
              <w:rPr>
                <w:rFonts w:hint="eastAsia" w:ascii="宋体" w:eastAsia="宋体" w:cs="宋体"/>
                <w:b/>
                <w:bCs/>
                <w:kern w:val="0"/>
                <w:sz w:val="21"/>
                <w:szCs w:val="21"/>
                <w:highlight w:val="yellow"/>
              </w:rPr>
              <w:t>。</w:t>
            </w:r>
          </w:p>
        </w:tc>
      </w:tr>
      <w:tr w14:paraId="55D06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707" w:type="dxa"/>
            <w:vMerge w:val="continue"/>
          </w:tcPr>
          <w:p w14:paraId="7D751836"/>
        </w:tc>
        <w:tc>
          <w:tcPr>
            <w:tcW w:w="1292" w:type="dxa"/>
            <w:vMerge w:val="continue"/>
          </w:tcPr>
          <w:p w14:paraId="4725CF90"/>
        </w:tc>
        <w:tc>
          <w:tcPr>
            <w:tcW w:w="6875" w:type="dxa"/>
          </w:tcPr>
          <w:p w14:paraId="2077B924">
            <w:pPr>
              <w:spacing w:line="360" w:lineRule="auto"/>
              <w:rPr>
                <w:rFonts w:hint="eastAsia" w:ascii="宋体" w:eastAsia="宋体" w:cs="宋体"/>
                <w:kern w:val="0"/>
                <w:sz w:val="21"/>
                <w:szCs w:val="21"/>
              </w:rPr>
            </w:pPr>
            <w:r>
              <w:rPr>
                <w:rFonts w:hint="eastAsia" w:ascii="宋体" w:eastAsia="宋体" w:cs="宋体"/>
                <w:kern w:val="0"/>
                <w:sz w:val="21"/>
                <w:szCs w:val="21"/>
              </w:rPr>
              <w:t>2.挂机布置</w:t>
            </w:r>
          </w:p>
          <w:p w14:paraId="58CB9332">
            <w:pPr>
              <w:spacing w:line="360" w:lineRule="auto"/>
              <w:rPr>
                <w:rFonts w:hint="eastAsia" w:ascii="宋体" w:eastAsia="宋体" w:cs="宋体"/>
                <w:kern w:val="0"/>
                <w:sz w:val="21"/>
                <w:szCs w:val="21"/>
              </w:rPr>
            </w:pPr>
            <w:r>
              <w:rPr>
                <w:rFonts w:hint="eastAsia" w:ascii="宋体" w:cs="宋体"/>
                <w:kern w:val="0"/>
                <w:sz w:val="21"/>
                <w:szCs w:val="21"/>
                <w:highlight w:val="none"/>
                <w:lang w:val="en-US" w:eastAsia="zh-CN"/>
              </w:rPr>
              <w:t>公务艇</w:t>
            </w:r>
            <w:r>
              <w:rPr>
                <w:rFonts w:hint="eastAsia" w:ascii="宋体" w:eastAsia="宋体" w:cs="宋体"/>
                <w:kern w:val="0"/>
                <w:sz w:val="21"/>
                <w:szCs w:val="21"/>
              </w:rPr>
              <w:t>为挂机型，挂机设置在船尾。在0#—2#肋位处，甲板开有舱口盖。</w:t>
            </w:r>
          </w:p>
          <w:p w14:paraId="65C37F62">
            <w:pPr>
              <w:spacing w:line="360" w:lineRule="auto"/>
              <w:rPr>
                <w:rFonts w:hint="eastAsia" w:ascii="宋体" w:eastAsia="宋体" w:cs="宋体"/>
                <w:kern w:val="0"/>
                <w:sz w:val="21"/>
                <w:szCs w:val="21"/>
              </w:rPr>
            </w:pPr>
            <w:r>
              <w:rPr>
                <w:rFonts w:hint="eastAsia" w:ascii="宋体" w:eastAsia="宋体" w:cs="宋体"/>
                <w:kern w:val="0"/>
                <w:sz w:val="21"/>
                <w:szCs w:val="21"/>
              </w:rPr>
              <w:t>舷外挂机机组安装地艉封板上，对称并列布置，其它设备布置在尾舱、燃油舱及空舱内。</w:t>
            </w:r>
          </w:p>
        </w:tc>
      </w:tr>
      <w:tr w14:paraId="1E50C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707" w:type="dxa"/>
            <w:vMerge w:val="continue"/>
          </w:tcPr>
          <w:p w14:paraId="7F0E00D8"/>
        </w:tc>
        <w:tc>
          <w:tcPr>
            <w:tcW w:w="1292" w:type="dxa"/>
            <w:vMerge w:val="continue"/>
          </w:tcPr>
          <w:p w14:paraId="06A3724D"/>
        </w:tc>
        <w:tc>
          <w:tcPr>
            <w:tcW w:w="6875" w:type="dxa"/>
          </w:tcPr>
          <w:p w14:paraId="05851E2D">
            <w:pPr>
              <w:spacing w:line="360" w:lineRule="auto"/>
              <w:rPr>
                <w:rFonts w:hint="eastAsia" w:ascii="宋体" w:eastAsia="宋体" w:cs="宋体"/>
                <w:b w:val="0"/>
                <w:bCs w:val="0"/>
                <w:kern w:val="0"/>
                <w:sz w:val="21"/>
                <w:szCs w:val="21"/>
              </w:rPr>
            </w:pPr>
            <w:r>
              <w:rPr>
                <w:rFonts w:hint="eastAsia" w:ascii="宋体" w:eastAsia="宋体" w:cs="宋体"/>
                <w:b w:val="0"/>
                <w:bCs w:val="0"/>
                <w:kern w:val="0"/>
                <w:sz w:val="21"/>
                <w:szCs w:val="21"/>
              </w:rPr>
              <w:t>3.主机遥控系统及操舵系统</w:t>
            </w:r>
          </w:p>
          <w:p w14:paraId="3A1A3CA3">
            <w:pPr>
              <w:spacing w:line="360" w:lineRule="auto"/>
              <w:rPr>
                <w:rFonts w:hint="eastAsia" w:ascii="宋体" w:eastAsia="宋体" w:cs="宋体"/>
                <w:b w:val="0"/>
                <w:bCs w:val="0"/>
                <w:kern w:val="0"/>
                <w:sz w:val="21"/>
                <w:szCs w:val="21"/>
              </w:rPr>
            </w:pPr>
            <w:r>
              <w:rPr>
                <w:rFonts w:hint="eastAsia" w:ascii="宋体" w:cs="宋体"/>
                <w:b w:val="0"/>
                <w:bCs w:val="0"/>
                <w:kern w:val="0"/>
                <w:sz w:val="21"/>
                <w:szCs w:val="21"/>
                <w:highlight w:val="none"/>
                <w:lang w:val="en-US" w:eastAsia="zh-CN"/>
              </w:rPr>
              <w:t>公务艇</w:t>
            </w:r>
            <w:r>
              <w:rPr>
                <w:rFonts w:hint="eastAsia" w:ascii="宋体" w:eastAsia="宋体" w:cs="宋体"/>
                <w:b w:val="0"/>
                <w:bCs w:val="0"/>
                <w:kern w:val="0"/>
                <w:sz w:val="21"/>
                <w:szCs w:val="21"/>
              </w:rPr>
              <w:t>采用单站驾驶,在驾驶台设有遥控装置，以实现舷外挂机组的遥控。舷外挂机组采用随机配带的电控遥控装置，通过驾驶室控制台的手柄可实现舷外挂机的油门调速、齿轮箱的离合和换向。</w:t>
            </w:r>
          </w:p>
          <w:p w14:paraId="1E5AC297">
            <w:pPr>
              <w:spacing w:line="360" w:lineRule="auto"/>
              <w:rPr>
                <w:rFonts w:hint="eastAsia" w:ascii="宋体" w:eastAsia="宋体" w:cs="宋体"/>
                <w:b w:val="0"/>
                <w:bCs w:val="0"/>
                <w:kern w:val="0"/>
                <w:sz w:val="21"/>
                <w:szCs w:val="21"/>
              </w:rPr>
            </w:pPr>
            <w:r>
              <w:rPr>
                <w:rFonts w:hint="eastAsia" w:ascii="宋体" w:eastAsia="宋体" w:cs="宋体"/>
                <w:b w:val="0"/>
                <w:bCs w:val="0"/>
                <w:kern w:val="0"/>
                <w:sz w:val="21"/>
                <w:szCs w:val="21"/>
              </w:rPr>
              <w:t>通过启停开关对主机进行遥控启动、停车。采用电动倾斜液压升降，在驾驶控制台上设有倾斜角度表及转速表，可对主机运行状态进行监视，通过转动方向盘控制艉部推进装置左右摆动可改变船舶航向。</w:t>
            </w:r>
          </w:p>
          <w:p w14:paraId="15B95FF8">
            <w:pPr>
              <w:spacing w:line="360" w:lineRule="auto"/>
              <w:rPr>
                <w:rFonts w:hint="eastAsia" w:ascii="宋体" w:eastAsia="宋体" w:cs="宋体"/>
                <w:kern w:val="0"/>
                <w:sz w:val="21"/>
                <w:szCs w:val="21"/>
              </w:rPr>
            </w:pPr>
            <w:r>
              <w:rPr>
                <w:rFonts w:hint="eastAsia" w:ascii="宋体" w:eastAsia="宋体" w:cs="宋体"/>
                <w:b w:val="0"/>
                <w:bCs w:val="0"/>
                <w:kern w:val="0"/>
                <w:sz w:val="21"/>
                <w:szCs w:val="21"/>
              </w:rPr>
              <w:t>驾驶室控制台装有仪表盘，包括：滑油压力表、水温表、转速表及主机高水温、低油压报警器等主机仪表。</w:t>
            </w:r>
          </w:p>
        </w:tc>
      </w:tr>
      <w:tr w14:paraId="24BE5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707" w:type="dxa"/>
            <w:vMerge w:val="continue"/>
          </w:tcPr>
          <w:p w14:paraId="3AC2A42A"/>
        </w:tc>
        <w:tc>
          <w:tcPr>
            <w:tcW w:w="1292" w:type="dxa"/>
            <w:vMerge w:val="continue"/>
          </w:tcPr>
          <w:p w14:paraId="6223AE6F"/>
        </w:tc>
        <w:tc>
          <w:tcPr>
            <w:tcW w:w="6875" w:type="dxa"/>
          </w:tcPr>
          <w:p w14:paraId="6882B8A5">
            <w:pPr>
              <w:spacing w:line="360" w:lineRule="auto"/>
              <w:rPr>
                <w:rFonts w:hint="eastAsia" w:ascii="宋体" w:eastAsia="宋体" w:cs="宋体"/>
                <w:kern w:val="0"/>
                <w:sz w:val="21"/>
                <w:szCs w:val="21"/>
              </w:rPr>
            </w:pPr>
            <w:r>
              <w:rPr>
                <w:rFonts w:hint="eastAsia" w:ascii="宋体" w:eastAsia="宋体" w:cs="宋体"/>
                <w:kern w:val="0"/>
                <w:sz w:val="21"/>
                <w:szCs w:val="21"/>
              </w:rPr>
              <w:t>4.动力系统</w:t>
            </w:r>
          </w:p>
          <w:p w14:paraId="0D0F9355">
            <w:pPr>
              <w:spacing w:line="360" w:lineRule="auto"/>
              <w:rPr>
                <w:rFonts w:hint="eastAsia" w:ascii="宋体" w:eastAsia="宋体" w:cs="宋体"/>
                <w:kern w:val="0"/>
                <w:sz w:val="21"/>
                <w:szCs w:val="21"/>
              </w:rPr>
            </w:pPr>
            <w:r>
              <w:rPr>
                <w:rFonts w:hint="eastAsia" w:ascii="宋体" w:eastAsia="宋体" w:cs="宋体"/>
                <w:kern w:val="0"/>
                <w:sz w:val="21"/>
                <w:szCs w:val="21"/>
              </w:rPr>
              <w:t>（1）燃油系统</w:t>
            </w:r>
          </w:p>
          <w:p w14:paraId="5E7E00EE">
            <w:pPr>
              <w:spacing w:line="360" w:lineRule="auto"/>
              <w:rPr>
                <w:rFonts w:hint="eastAsia" w:ascii="宋体" w:eastAsia="宋体" w:cs="宋体"/>
                <w:kern w:val="0"/>
                <w:sz w:val="21"/>
                <w:szCs w:val="21"/>
              </w:rPr>
            </w:pPr>
            <w:r>
              <w:rPr>
                <w:rFonts w:hint="eastAsia" w:ascii="宋体" w:eastAsia="宋体" w:cs="宋体"/>
                <w:kern w:val="0"/>
                <w:sz w:val="21"/>
                <w:szCs w:val="21"/>
              </w:rPr>
              <w:t>舷外汽油挂机采用95号及以上无铅汽油作燃料。系统由不锈钢汽油箱及管路阀件等组成。设不低于</w:t>
            </w:r>
            <w:r>
              <w:rPr>
                <w:rFonts w:hint="eastAsia" w:ascii="宋体" w:eastAsia="宋体" w:cs="宋体"/>
                <w:kern w:val="0"/>
                <w:sz w:val="21"/>
                <w:szCs w:val="21"/>
                <w:highlight w:val="none"/>
              </w:rPr>
              <w:t>800</w:t>
            </w:r>
            <w:r>
              <w:rPr>
                <w:rFonts w:hint="eastAsia" w:ascii="宋体" w:eastAsia="宋体" w:cs="宋体"/>
                <w:kern w:val="0"/>
                <w:sz w:val="21"/>
                <w:szCs w:val="21"/>
              </w:rPr>
              <w:t>L不锈钢汽油箱一个。汽油通过汽油箱注入口对汽油箱加油。主机运转时，汽油从汽油箱经过滤器进入主机燃油泵。汽油箱处所</w:t>
            </w:r>
            <w:r>
              <w:rPr>
                <w:rFonts w:hint="eastAsia" w:ascii="宋体" w:cs="宋体"/>
                <w:kern w:val="0"/>
                <w:sz w:val="21"/>
                <w:szCs w:val="21"/>
                <w:lang w:val="en-US" w:eastAsia="zh-CN"/>
              </w:rPr>
              <w:t>周边</w:t>
            </w:r>
            <w:r>
              <w:rPr>
                <w:rFonts w:hint="eastAsia" w:ascii="宋体" w:eastAsia="宋体" w:cs="宋体"/>
                <w:kern w:val="0"/>
                <w:sz w:val="21"/>
                <w:szCs w:val="21"/>
              </w:rPr>
              <w:t>设有防火分隔及自然通风系统。汽油箱安装前应进行压力试验，试验压力为≥0.03MPa。</w:t>
            </w:r>
          </w:p>
          <w:p w14:paraId="49CB1E83">
            <w:pPr>
              <w:spacing w:line="360" w:lineRule="auto"/>
              <w:rPr>
                <w:rFonts w:hint="eastAsia" w:ascii="宋体" w:eastAsia="宋体" w:cs="宋体"/>
                <w:kern w:val="0"/>
                <w:sz w:val="21"/>
                <w:szCs w:val="21"/>
              </w:rPr>
            </w:pPr>
            <w:r>
              <w:rPr>
                <w:rFonts w:hint="eastAsia" w:ascii="宋体" w:eastAsia="宋体" w:cs="宋体"/>
                <w:kern w:val="0"/>
                <w:sz w:val="21"/>
                <w:szCs w:val="21"/>
              </w:rPr>
              <w:t>（2）滑油系统</w:t>
            </w:r>
          </w:p>
          <w:p w14:paraId="38F68214">
            <w:pPr>
              <w:spacing w:line="360" w:lineRule="auto"/>
              <w:rPr>
                <w:rFonts w:hint="eastAsia" w:ascii="宋体" w:eastAsia="宋体" w:cs="宋体"/>
                <w:kern w:val="0"/>
                <w:sz w:val="21"/>
                <w:szCs w:val="21"/>
              </w:rPr>
            </w:pPr>
            <w:r>
              <w:rPr>
                <w:rFonts w:hint="eastAsia" w:ascii="宋体" w:eastAsia="宋体" w:cs="宋体"/>
                <w:kern w:val="0"/>
                <w:sz w:val="21"/>
                <w:szCs w:val="21"/>
              </w:rPr>
              <w:t>主机组自带润滑系统。</w:t>
            </w:r>
          </w:p>
          <w:p w14:paraId="613514B0">
            <w:pPr>
              <w:spacing w:line="360" w:lineRule="auto"/>
              <w:rPr>
                <w:rFonts w:hint="eastAsia" w:ascii="宋体" w:eastAsia="宋体" w:cs="宋体"/>
                <w:kern w:val="0"/>
                <w:sz w:val="21"/>
                <w:szCs w:val="21"/>
              </w:rPr>
            </w:pPr>
            <w:r>
              <w:rPr>
                <w:rFonts w:hint="eastAsia" w:ascii="宋体" w:eastAsia="宋体" w:cs="宋体"/>
                <w:kern w:val="0"/>
                <w:sz w:val="21"/>
                <w:szCs w:val="21"/>
              </w:rPr>
              <w:t>（3）冷却水系统</w:t>
            </w:r>
          </w:p>
          <w:p w14:paraId="79AF545B">
            <w:pPr>
              <w:spacing w:line="360" w:lineRule="auto"/>
              <w:rPr>
                <w:rFonts w:hint="eastAsia" w:ascii="宋体" w:eastAsia="宋体" w:cs="宋体"/>
                <w:kern w:val="0"/>
                <w:sz w:val="21"/>
                <w:szCs w:val="21"/>
              </w:rPr>
            </w:pPr>
            <w:r>
              <w:rPr>
                <w:rFonts w:hint="eastAsia" w:ascii="宋体" w:eastAsia="宋体" w:cs="宋体"/>
                <w:kern w:val="0"/>
                <w:sz w:val="21"/>
                <w:szCs w:val="21"/>
              </w:rPr>
              <w:t>主机的冷却水系统随主机提供，内外冷却水系统均与主机设计成一体。主机采用海水开式循环；海水由艉机吸入，经主机带冷却水泵送至汽油机内,冷却主机后随尾气排出。</w:t>
            </w:r>
          </w:p>
          <w:p w14:paraId="00B838AB">
            <w:pPr>
              <w:spacing w:line="360" w:lineRule="auto"/>
              <w:rPr>
                <w:rFonts w:hint="eastAsia" w:ascii="宋体" w:eastAsia="宋体" w:cs="宋体"/>
                <w:kern w:val="0"/>
                <w:sz w:val="21"/>
                <w:szCs w:val="21"/>
              </w:rPr>
            </w:pPr>
            <w:r>
              <w:rPr>
                <w:rFonts w:hint="eastAsia" w:ascii="宋体" w:eastAsia="宋体" w:cs="宋体"/>
                <w:kern w:val="0"/>
                <w:sz w:val="21"/>
                <w:szCs w:val="21"/>
              </w:rPr>
              <w:t>（4）排气系统及布置</w:t>
            </w:r>
          </w:p>
          <w:p w14:paraId="7B789C47">
            <w:pPr>
              <w:spacing w:line="360" w:lineRule="auto"/>
              <w:rPr>
                <w:rFonts w:hint="eastAsia" w:ascii="宋体" w:eastAsia="宋体" w:cs="宋体"/>
                <w:kern w:val="0"/>
                <w:sz w:val="21"/>
                <w:szCs w:val="21"/>
                <w:lang w:eastAsia="zh-CN"/>
              </w:rPr>
            </w:pPr>
            <w:r>
              <w:rPr>
                <w:rFonts w:hint="eastAsia" w:ascii="宋体" w:eastAsia="宋体" w:cs="宋体"/>
                <w:kern w:val="0"/>
                <w:sz w:val="21"/>
                <w:szCs w:val="21"/>
              </w:rPr>
              <w:t>主机采用尾排气。主机废气汽、水混合后从艉机出水口排出舷外。</w:t>
            </w:r>
          </w:p>
        </w:tc>
      </w:tr>
      <w:tr w14:paraId="77C3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707" w:type="dxa"/>
            <w:vMerge w:val="continue"/>
          </w:tcPr>
          <w:p w14:paraId="698F451D"/>
        </w:tc>
        <w:tc>
          <w:tcPr>
            <w:tcW w:w="1292" w:type="dxa"/>
            <w:vMerge w:val="continue"/>
          </w:tcPr>
          <w:p w14:paraId="7F0D9DF7"/>
        </w:tc>
        <w:tc>
          <w:tcPr>
            <w:tcW w:w="6875" w:type="dxa"/>
          </w:tcPr>
          <w:p w14:paraId="3837D3F5">
            <w:pPr>
              <w:spacing w:line="360" w:lineRule="auto"/>
              <w:rPr>
                <w:rFonts w:hint="eastAsia" w:ascii="宋体" w:eastAsia="宋体" w:cs="宋体"/>
                <w:kern w:val="0"/>
                <w:sz w:val="21"/>
                <w:szCs w:val="21"/>
              </w:rPr>
            </w:pPr>
            <w:r>
              <w:rPr>
                <w:rFonts w:hint="eastAsia" w:ascii="宋体" w:eastAsia="宋体" w:cs="宋体"/>
                <w:kern w:val="0"/>
                <w:sz w:val="21"/>
                <w:szCs w:val="21"/>
              </w:rPr>
              <w:t>5.船舶系统</w:t>
            </w:r>
          </w:p>
          <w:p w14:paraId="4977888A">
            <w:pPr>
              <w:spacing w:line="360" w:lineRule="auto"/>
              <w:rPr>
                <w:rFonts w:hint="eastAsia" w:ascii="宋体" w:eastAsia="宋体" w:cs="宋体"/>
                <w:kern w:val="0"/>
                <w:sz w:val="21"/>
                <w:szCs w:val="21"/>
              </w:rPr>
            </w:pPr>
            <w:r>
              <w:rPr>
                <w:rFonts w:hint="eastAsia" w:ascii="宋体" w:eastAsia="宋体" w:cs="宋体"/>
                <w:kern w:val="0"/>
                <w:sz w:val="21"/>
                <w:szCs w:val="21"/>
              </w:rPr>
              <w:t>机舱设有舱底手摇泵一台,可将艉舱、乘员舱和储物舱等舱底水抽出排到舷外。另还设有2台抽水泵，其中一台为可移动式的；用以抽艉舱和艏尖舱舱底积水。各舱底设置有舱底水高位报警装置。</w:t>
            </w:r>
          </w:p>
        </w:tc>
      </w:tr>
      <w:tr w14:paraId="0FB75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707" w:type="dxa"/>
            <w:vMerge w:val="continue"/>
          </w:tcPr>
          <w:p w14:paraId="1E6908C2"/>
        </w:tc>
        <w:tc>
          <w:tcPr>
            <w:tcW w:w="1292" w:type="dxa"/>
            <w:vMerge w:val="continue"/>
          </w:tcPr>
          <w:p w14:paraId="668A43AA"/>
        </w:tc>
        <w:tc>
          <w:tcPr>
            <w:tcW w:w="6875" w:type="dxa"/>
          </w:tcPr>
          <w:p w14:paraId="747E609E">
            <w:pPr>
              <w:spacing w:line="360" w:lineRule="auto"/>
              <w:rPr>
                <w:rFonts w:hint="eastAsia" w:ascii="宋体" w:eastAsia="宋体" w:cs="宋体"/>
                <w:kern w:val="0"/>
                <w:sz w:val="21"/>
                <w:szCs w:val="21"/>
              </w:rPr>
            </w:pPr>
            <w:r>
              <w:rPr>
                <w:rFonts w:hint="eastAsia" w:ascii="宋体" w:eastAsia="宋体" w:cs="宋体"/>
                <w:kern w:val="0"/>
                <w:sz w:val="21"/>
                <w:szCs w:val="21"/>
              </w:rPr>
              <w:t>6.通风系统</w:t>
            </w:r>
          </w:p>
          <w:p w14:paraId="3B775854">
            <w:pPr>
              <w:spacing w:line="360" w:lineRule="auto"/>
              <w:rPr>
                <w:rFonts w:hint="eastAsia" w:ascii="宋体" w:eastAsia="宋体" w:cs="宋体"/>
                <w:kern w:val="0"/>
                <w:sz w:val="21"/>
                <w:szCs w:val="21"/>
              </w:rPr>
            </w:pPr>
            <w:r>
              <w:rPr>
                <w:rFonts w:hint="eastAsia" w:ascii="宋体" w:eastAsia="宋体" w:cs="宋体"/>
                <w:kern w:val="0"/>
                <w:sz w:val="21"/>
                <w:szCs w:val="21"/>
              </w:rPr>
              <w:t>汽油箱舱内采用自然通风系统，由一个自然进出风口与风道组成。</w:t>
            </w:r>
          </w:p>
        </w:tc>
      </w:tr>
      <w:tr w14:paraId="2DE28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707" w:type="dxa"/>
            <w:vMerge w:val="continue"/>
          </w:tcPr>
          <w:p w14:paraId="059CA12A"/>
        </w:tc>
        <w:tc>
          <w:tcPr>
            <w:tcW w:w="1292" w:type="dxa"/>
            <w:vMerge w:val="continue"/>
          </w:tcPr>
          <w:p w14:paraId="77DD0FBA"/>
        </w:tc>
        <w:tc>
          <w:tcPr>
            <w:tcW w:w="6875" w:type="dxa"/>
          </w:tcPr>
          <w:p w14:paraId="75517508">
            <w:pPr>
              <w:spacing w:line="360" w:lineRule="auto"/>
              <w:rPr>
                <w:rFonts w:hint="eastAsia" w:ascii="宋体" w:eastAsia="宋体" w:cs="宋体"/>
                <w:kern w:val="0"/>
                <w:sz w:val="21"/>
                <w:szCs w:val="21"/>
              </w:rPr>
            </w:pPr>
            <w:r>
              <w:rPr>
                <w:rFonts w:hint="eastAsia" w:ascii="宋体" w:eastAsia="宋体" w:cs="宋体"/>
                <w:kern w:val="0"/>
                <w:sz w:val="21"/>
                <w:szCs w:val="21"/>
              </w:rPr>
              <w:t>7、全</w:t>
            </w:r>
            <w:r>
              <w:rPr>
                <w:rFonts w:hint="eastAsia" w:ascii="宋体" w:cs="宋体"/>
                <w:kern w:val="0"/>
                <w:sz w:val="21"/>
                <w:szCs w:val="21"/>
                <w:highlight w:val="none"/>
                <w:lang w:val="en-US" w:eastAsia="zh-CN"/>
              </w:rPr>
              <w:t>艇</w:t>
            </w:r>
            <w:r>
              <w:rPr>
                <w:rFonts w:hint="eastAsia" w:ascii="宋体" w:eastAsia="宋体" w:cs="宋体"/>
                <w:kern w:val="0"/>
                <w:sz w:val="21"/>
                <w:szCs w:val="21"/>
              </w:rPr>
              <w:t>空气及测量系统</w:t>
            </w:r>
          </w:p>
          <w:p w14:paraId="2F57AF73">
            <w:pPr>
              <w:spacing w:line="360" w:lineRule="auto"/>
              <w:rPr>
                <w:rFonts w:hint="eastAsia" w:ascii="宋体" w:eastAsia="宋体" w:cs="宋体"/>
                <w:kern w:val="0"/>
                <w:sz w:val="21"/>
                <w:szCs w:val="21"/>
              </w:rPr>
            </w:pPr>
            <w:r>
              <w:rPr>
                <w:rFonts w:hint="eastAsia" w:ascii="宋体" w:cs="宋体"/>
                <w:kern w:val="0"/>
                <w:sz w:val="21"/>
                <w:szCs w:val="21"/>
                <w:highlight w:val="none"/>
                <w:lang w:val="en-US" w:eastAsia="zh-CN"/>
              </w:rPr>
              <w:t>公务艇</w:t>
            </w:r>
            <w:r>
              <w:rPr>
                <w:rFonts w:hint="eastAsia" w:ascii="宋体" w:eastAsia="宋体" w:cs="宋体"/>
                <w:kern w:val="0"/>
                <w:sz w:val="21"/>
                <w:szCs w:val="21"/>
              </w:rPr>
              <w:t>汽油箱设有电感式液位计，可以通过设在驾驶台的油位表知道燃油的消耗情况，</w:t>
            </w:r>
            <w:r>
              <w:rPr>
                <w:rFonts w:hint="eastAsia" w:ascii="宋体" w:cs="宋体"/>
                <w:kern w:val="0"/>
                <w:sz w:val="21"/>
                <w:szCs w:val="21"/>
                <w:highlight w:val="none"/>
                <w:lang w:val="en-US" w:eastAsia="zh-CN"/>
              </w:rPr>
              <w:t>公务艇</w:t>
            </w:r>
            <w:r>
              <w:rPr>
                <w:rFonts w:hint="eastAsia" w:ascii="宋体" w:eastAsia="宋体" w:cs="宋体"/>
                <w:kern w:val="0"/>
                <w:sz w:val="21"/>
                <w:szCs w:val="21"/>
              </w:rPr>
              <w:t>汽油箱设有防爆阻火呼吸阀，保证汽油箱的透气安全。汽油箱透气管的防爆阻火呼吸阀安装在后甲板上。</w:t>
            </w:r>
          </w:p>
        </w:tc>
      </w:tr>
      <w:tr w14:paraId="72D2E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707" w:type="dxa"/>
            <w:vMerge w:val="continue"/>
          </w:tcPr>
          <w:p w14:paraId="73C96B30"/>
        </w:tc>
        <w:tc>
          <w:tcPr>
            <w:tcW w:w="1292" w:type="dxa"/>
            <w:vMerge w:val="continue"/>
          </w:tcPr>
          <w:p w14:paraId="745D6B98"/>
        </w:tc>
        <w:tc>
          <w:tcPr>
            <w:tcW w:w="6875" w:type="dxa"/>
          </w:tcPr>
          <w:p w14:paraId="104340AE">
            <w:pPr>
              <w:spacing w:line="360" w:lineRule="auto"/>
              <w:rPr>
                <w:rFonts w:hint="eastAsia" w:ascii="宋体" w:eastAsia="宋体" w:cs="宋体"/>
                <w:kern w:val="0"/>
                <w:sz w:val="21"/>
                <w:szCs w:val="21"/>
              </w:rPr>
            </w:pPr>
            <w:r>
              <w:rPr>
                <w:rFonts w:hint="eastAsia" w:ascii="宋体" w:eastAsia="宋体" w:cs="宋体"/>
                <w:kern w:val="0"/>
                <w:sz w:val="21"/>
                <w:szCs w:val="21"/>
              </w:rPr>
              <w:t>8.防污染</w:t>
            </w:r>
          </w:p>
          <w:p w14:paraId="5804FEA0">
            <w:pPr>
              <w:spacing w:line="360" w:lineRule="auto"/>
              <w:rPr>
                <w:rFonts w:hint="eastAsia" w:ascii="宋体" w:eastAsia="宋体" w:cs="宋体"/>
                <w:kern w:val="0"/>
                <w:sz w:val="21"/>
                <w:szCs w:val="21"/>
              </w:rPr>
            </w:pPr>
            <w:r>
              <w:rPr>
                <w:rFonts w:hint="eastAsia" w:ascii="宋体" w:cs="宋体"/>
                <w:kern w:val="0"/>
                <w:sz w:val="21"/>
                <w:szCs w:val="21"/>
                <w:highlight w:val="none"/>
                <w:lang w:val="en-US" w:eastAsia="zh-CN"/>
              </w:rPr>
              <w:t>公务艇</w:t>
            </w:r>
            <w:r>
              <w:rPr>
                <w:rFonts w:hint="eastAsia" w:ascii="宋体" w:eastAsia="宋体" w:cs="宋体"/>
                <w:kern w:val="0"/>
                <w:sz w:val="21"/>
                <w:szCs w:val="21"/>
              </w:rPr>
              <w:t>所用主机为外舷外挂机，其所用燃料为汽油，汽油的特性具有挥发性。不会对水造成污染。</w:t>
            </w:r>
          </w:p>
        </w:tc>
      </w:tr>
      <w:tr w14:paraId="1A02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707" w:type="dxa"/>
            <w:vMerge w:val="continue"/>
          </w:tcPr>
          <w:p w14:paraId="59D6A836"/>
        </w:tc>
        <w:tc>
          <w:tcPr>
            <w:tcW w:w="1292" w:type="dxa"/>
            <w:vMerge w:val="continue"/>
          </w:tcPr>
          <w:p w14:paraId="6CF31454"/>
        </w:tc>
        <w:tc>
          <w:tcPr>
            <w:tcW w:w="6875" w:type="dxa"/>
          </w:tcPr>
          <w:p w14:paraId="05BC858B">
            <w:pPr>
              <w:spacing w:line="360" w:lineRule="auto"/>
              <w:rPr>
                <w:rFonts w:hint="eastAsia" w:ascii="宋体" w:eastAsia="宋体" w:cs="宋体"/>
                <w:kern w:val="0"/>
                <w:sz w:val="21"/>
                <w:szCs w:val="21"/>
              </w:rPr>
            </w:pPr>
            <w:r>
              <w:rPr>
                <w:rFonts w:hint="eastAsia" w:ascii="宋体" w:eastAsia="宋体" w:cs="宋体"/>
                <w:kern w:val="0"/>
                <w:sz w:val="21"/>
                <w:szCs w:val="21"/>
              </w:rPr>
              <w:t>9.垃圾收集系统</w:t>
            </w:r>
          </w:p>
          <w:p w14:paraId="4F36A43F">
            <w:pPr>
              <w:spacing w:line="360" w:lineRule="auto"/>
              <w:rPr>
                <w:rFonts w:hint="eastAsia" w:ascii="宋体" w:eastAsia="宋体" w:cs="宋体"/>
                <w:kern w:val="0"/>
                <w:sz w:val="21"/>
                <w:szCs w:val="21"/>
              </w:rPr>
            </w:pPr>
            <w:r>
              <w:rPr>
                <w:rFonts w:hint="eastAsia" w:ascii="宋体" w:eastAsia="宋体" w:cs="宋体"/>
                <w:kern w:val="0"/>
                <w:sz w:val="21"/>
                <w:szCs w:val="21"/>
              </w:rPr>
              <w:t>按规范要求，</w:t>
            </w:r>
            <w:r>
              <w:rPr>
                <w:rFonts w:hint="eastAsia" w:ascii="宋体" w:cs="宋体"/>
                <w:kern w:val="0"/>
                <w:sz w:val="21"/>
                <w:szCs w:val="21"/>
                <w:highlight w:val="none"/>
                <w:lang w:val="en-US" w:eastAsia="zh-CN"/>
              </w:rPr>
              <w:t>公务艇</w:t>
            </w:r>
            <w:r>
              <w:rPr>
                <w:rFonts w:hint="eastAsia" w:ascii="宋体" w:eastAsia="宋体" w:cs="宋体"/>
                <w:kern w:val="0"/>
                <w:sz w:val="21"/>
                <w:szCs w:val="21"/>
              </w:rPr>
              <w:t>上设置1个10L垃圾桶，总容量10L；并配置了一块“请勿将垃圾或其他物品投入水中”中英文告示牌。主要用于收集船舶航行时的日常垃圾，待船舶靠岸时再作回收处理。</w:t>
            </w:r>
          </w:p>
        </w:tc>
      </w:tr>
      <w:tr w14:paraId="39578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707" w:type="dxa"/>
            <w:vMerge w:val="continue"/>
          </w:tcPr>
          <w:p w14:paraId="55DDE436"/>
        </w:tc>
        <w:tc>
          <w:tcPr>
            <w:tcW w:w="1292" w:type="dxa"/>
            <w:vMerge w:val="continue"/>
          </w:tcPr>
          <w:p w14:paraId="633705AF"/>
        </w:tc>
        <w:tc>
          <w:tcPr>
            <w:tcW w:w="6875" w:type="dxa"/>
          </w:tcPr>
          <w:p w14:paraId="599376E4">
            <w:pPr>
              <w:spacing w:line="360" w:lineRule="auto"/>
              <w:rPr>
                <w:rFonts w:hint="eastAsia" w:ascii="宋体" w:eastAsia="宋体" w:cs="宋体"/>
                <w:kern w:val="0"/>
                <w:sz w:val="21"/>
                <w:szCs w:val="21"/>
              </w:rPr>
            </w:pPr>
            <w:r>
              <w:rPr>
                <w:rFonts w:hint="eastAsia" w:ascii="宋体" w:eastAsia="宋体" w:cs="宋体"/>
                <w:kern w:val="0"/>
                <w:sz w:val="21"/>
                <w:szCs w:val="21"/>
              </w:rPr>
              <w:t>（三）、电气部分</w:t>
            </w:r>
          </w:p>
          <w:p w14:paraId="17B35503">
            <w:pPr>
              <w:spacing w:line="360" w:lineRule="auto"/>
              <w:rPr>
                <w:rFonts w:hint="eastAsia" w:ascii="宋体" w:eastAsia="宋体" w:cs="宋体"/>
                <w:kern w:val="0"/>
                <w:sz w:val="21"/>
                <w:szCs w:val="21"/>
                <w:lang w:val="en-US" w:eastAsia="zh-CN"/>
              </w:rPr>
            </w:pPr>
            <w:r>
              <w:rPr>
                <w:rFonts w:hint="eastAsia" w:ascii="宋体" w:eastAsia="宋体" w:cs="宋体"/>
                <w:kern w:val="0"/>
                <w:sz w:val="21"/>
                <w:szCs w:val="21"/>
              </w:rPr>
              <w:t>1、</w:t>
            </w:r>
            <w:r>
              <w:rPr>
                <w:rFonts w:hint="eastAsia" w:ascii="宋体" w:cs="宋体"/>
                <w:kern w:val="0"/>
                <w:sz w:val="21"/>
                <w:szCs w:val="21"/>
                <w:lang w:val="en-US" w:eastAsia="zh-CN"/>
              </w:rPr>
              <w:t>设计要求</w:t>
            </w:r>
          </w:p>
          <w:p w14:paraId="21E7DF81">
            <w:pPr>
              <w:spacing w:line="360" w:lineRule="auto"/>
              <w:rPr>
                <w:rFonts w:hint="eastAsia" w:ascii="宋体" w:eastAsia="宋体" w:cs="宋体"/>
                <w:kern w:val="0"/>
                <w:sz w:val="21"/>
                <w:szCs w:val="21"/>
              </w:rPr>
            </w:pPr>
            <w:r>
              <w:rPr>
                <w:rFonts w:hint="eastAsia" w:ascii="宋体" w:cs="宋体"/>
                <w:kern w:val="0"/>
                <w:sz w:val="21"/>
                <w:szCs w:val="21"/>
                <w:highlight w:val="none"/>
                <w:lang w:val="en-US" w:eastAsia="zh-CN"/>
              </w:rPr>
              <w:t>公务艇</w:t>
            </w:r>
            <w:r>
              <w:rPr>
                <w:rFonts w:hint="eastAsia" w:ascii="宋体" w:eastAsia="宋体" w:cs="宋体"/>
                <w:kern w:val="0"/>
                <w:sz w:val="21"/>
                <w:szCs w:val="21"/>
              </w:rPr>
              <w:t>设计以《国内航行小型海船技术规则》（2024年）、《公务船技术规则》（2020）规定及船舶电气设计手册为依据。航区：沿海平静水域。</w:t>
            </w:r>
          </w:p>
        </w:tc>
      </w:tr>
      <w:tr w14:paraId="52407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707" w:type="dxa"/>
            <w:vMerge w:val="continue"/>
          </w:tcPr>
          <w:p w14:paraId="3646276E"/>
        </w:tc>
        <w:tc>
          <w:tcPr>
            <w:tcW w:w="1292" w:type="dxa"/>
            <w:vMerge w:val="continue"/>
          </w:tcPr>
          <w:p w14:paraId="230A0C14"/>
        </w:tc>
        <w:tc>
          <w:tcPr>
            <w:tcW w:w="6875" w:type="dxa"/>
          </w:tcPr>
          <w:p w14:paraId="0677A55B">
            <w:pPr>
              <w:spacing w:line="360" w:lineRule="auto"/>
              <w:rPr>
                <w:rFonts w:hint="eastAsia" w:ascii="宋体" w:eastAsia="宋体" w:cs="宋体"/>
                <w:kern w:val="0"/>
                <w:sz w:val="21"/>
                <w:szCs w:val="21"/>
              </w:rPr>
            </w:pPr>
            <w:r>
              <w:rPr>
                <w:rFonts w:hint="eastAsia" w:ascii="宋体" w:eastAsia="宋体" w:cs="宋体"/>
                <w:kern w:val="0"/>
                <w:sz w:val="21"/>
                <w:szCs w:val="21"/>
              </w:rPr>
              <w:t>2、电源设备</w:t>
            </w:r>
          </w:p>
          <w:p w14:paraId="7D820DE7">
            <w:pPr>
              <w:spacing w:line="360" w:lineRule="auto"/>
              <w:rPr>
                <w:rFonts w:hint="eastAsia" w:ascii="宋体" w:eastAsia="宋体" w:cs="宋体"/>
                <w:kern w:val="0"/>
                <w:sz w:val="21"/>
                <w:szCs w:val="21"/>
              </w:rPr>
            </w:pPr>
            <w:r>
              <w:rPr>
                <w:rFonts w:hint="eastAsia" w:ascii="宋体" w:eastAsia="宋体" w:cs="宋体"/>
                <w:kern w:val="0"/>
                <w:sz w:val="21"/>
                <w:szCs w:val="21"/>
              </w:rPr>
              <w:t>（1）蓄电池组：</w:t>
            </w:r>
            <w:r>
              <w:rPr>
                <w:rFonts w:hint="eastAsia" w:ascii="宋体" w:cs="宋体"/>
                <w:kern w:val="0"/>
                <w:sz w:val="21"/>
                <w:szCs w:val="21"/>
                <w:lang w:val="en-US" w:eastAsia="zh-CN"/>
              </w:rPr>
              <w:t>配备不</w:t>
            </w:r>
            <w:r>
              <w:rPr>
                <w:rFonts w:hint="eastAsia" w:ascii="宋体" w:eastAsia="宋体" w:cs="宋体"/>
                <w:kern w:val="0"/>
                <w:sz w:val="21"/>
                <w:szCs w:val="21"/>
              </w:rPr>
              <w:t>低于2块蓄电池，供主机启动用电。当</w:t>
            </w:r>
            <w:r>
              <w:rPr>
                <w:rFonts w:hint="eastAsia" w:ascii="宋体" w:cs="宋体"/>
                <w:kern w:val="0"/>
                <w:sz w:val="21"/>
                <w:szCs w:val="21"/>
                <w:lang w:val="en-US" w:eastAsia="zh-CN"/>
              </w:rPr>
              <w:t>启动</w:t>
            </w:r>
            <w:r>
              <w:rPr>
                <w:rFonts w:hint="eastAsia" w:ascii="宋体" w:eastAsia="宋体" w:cs="宋体"/>
                <w:kern w:val="0"/>
                <w:sz w:val="21"/>
                <w:szCs w:val="21"/>
              </w:rPr>
              <w:t>成且正常运转时，可自行对所有蓄电池组进行充电。按要求进行设计匹配，满足要求即可。</w:t>
            </w:r>
          </w:p>
          <w:p w14:paraId="1C31751B">
            <w:pPr>
              <w:spacing w:line="360" w:lineRule="auto"/>
              <w:rPr>
                <w:rFonts w:hint="eastAsia" w:ascii="宋体" w:eastAsia="宋体" w:cs="宋体"/>
                <w:kern w:val="0"/>
                <w:sz w:val="21"/>
                <w:szCs w:val="21"/>
              </w:rPr>
            </w:pPr>
            <w:r>
              <w:rPr>
                <w:rFonts w:hint="eastAsia" w:ascii="宋体" w:eastAsia="宋体" w:cs="宋体"/>
                <w:kern w:val="0"/>
                <w:sz w:val="21"/>
                <w:szCs w:val="21"/>
              </w:rPr>
              <w:t xml:space="preserve">（2）充电机 </w:t>
            </w:r>
          </w:p>
          <w:p w14:paraId="139AB07C">
            <w:pPr>
              <w:spacing w:line="360" w:lineRule="auto"/>
              <w:rPr>
                <w:rFonts w:hint="eastAsia" w:ascii="宋体" w:eastAsia="宋体" w:cs="宋体"/>
                <w:kern w:val="0"/>
                <w:sz w:val="21"/>
                <w:szCs w:val="21"/>
              </w:rPr>
            </w:pPr>
            <w:r>
              <w:rPr>
                <w:rFonts w:hint="eastAsia" w:ascii="宋体" w:cs="宋体"/>
                <w:kern w:val="0"/>
                <w:sz w:val="21"/>
                <w:szCs w:val="21"/>
                <w:highlight w:val="none"/>
                <w:lang w:val="en-US" w:eastAsia="zh-CN"/>
              </w:rPr>
              <w:t>公务艇配备</w:t>
            </w:r>
            <w:r>
              <w:rPr>
                <w:rFonts w:hint="eastAsia" w:ascii="宋体" w:eastAsia="宋体" w:cs="宋体"/>
                <w:kern w:val="0"/>
                <w:sz w:val="21"/>
                <w:szCs w:val="21"/>
              </w:rPr>
              <w:t>充电机一台，船舶靠岸时给全船蓄电池组充电。</w:t>
            </w:r>
          </w:p>
          <w:p w14:paraId="3AC5161D">
            <w:pPr>
              <w:spacing w:line="360" w:lineRule="auto"/>
              <w:rPr>
                <w:rFonts w:hint="eastAsia" w:ascii="宋体" w:eastAsia="宋体" w:cs="宋体"/>
                <w:kern w:val="0"/>
                <w:sz w:val="21"/>
                <w:szCs w:val="21"/>
              </w:rPr>
            </w:pPr>
            <w:r>
              <w:rPr>
                <w:rFonts w:hint="eastAsia" w:ascii="宋体" w:eastAsia="宋体" w:cs="宋体"/>
                <w:kern w:val="0"/>
                <w:sz w:val="21"/>
                <w:szCs w:val="21"/>
              </w:rPr>
              <w:t>（3）岸电</w:t>
            </w:r>
          </w:p>
          <w:p w14:paraId="34E3EA82">
            <w:pPr>
              <w:spacing w:line="360" w:lineRule="auto"/>
              <w:rPr>
                <w:rFonts w:hint="eastAsia" w:ascii="宋体" w:eastAsia="宋体" w:cs="宋体"/>
                <w:kern w:val="0"/>
                <w:sz w:val="21"/>
                <w:szCs w:val="21"/>
              </w:rPr>
            </w:pPr>
            <w:r>
              <w:rPr>
                <w:rFonts w:hint="eastAsia" w:ascii="宋体" w:cs="宋体"/>
                <w:kern w:val="0"/>
                <w:sz w:val="21"/>
                <w:szCs w:val="21"/>
                <w:highlight w:val="none"/>
                <w:lang w:val="en-US" w:eastAsia="zh-CN"/>
              </w:rPr>
              <w:t>公务艇</w:t>
            </w:r>
            <w:r>
              <w:rPr>
                <w:rFonts w:hint="eastAsia"/>
                <w:lang w:eastAsia="zh-CN"/>
              </w:rPr>
              <w:t>配备</w:t>
            </w:r>
            <w:r>
              <w:rPr>
                <w:rFonts w:hint="eastAsia" w:ascii="宋体" w:eastAsia="宋体" w:cs="宋体"/>
                <w:kern w:val="0"/>
                <w:sz w:val="21"/>
                <w:szCs w:val="21"/>
              </w:rPr>
              <w:t>岸电插座插头一套（配</w:t>
            </w:r>
            <w:r>
              <w:rPr>
                <w:rFonts w:hint="eastAsia"/>
                <w:lang w:val="en-US" w:eastAsia="zh-CN"/>
              </w:rPr>
              <w:t>≥</w:t>
            </w:r>
            <w:r>
              <w:rPr>
                <w:rFonts w:hint="eastAsia" w:ascii="宋体" w:eastAsia="宋体" w:cs="宋体"/>
                <w:kern w:val="0"/>
                <w:sz w:val="21"/>
                <w:szCs w:val="21"/>
              </w:rPr>
              <w:t>35米岸电线），艇靠岸时从岸电插座引入AC220V电源通过充电机给蓄电池组充电。</w:t>
            </w:r>
          </w:p>
        </w:tc>
      </w:tr>
      <w:tr w14:paraId="22A9B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707" w:type="dxa"/>
            <w:vMerge w:val="continue"/>
          </w:tcPr>
          <w:p w14:paraId="1FCD2E97"/>
        </w:tc>
        <w:tc>
          <w:tcPr>
            <w:tcW w:w="1292" w:type="dxa"/>
            <w:vMerge w:val="continue"/>
          </w:tcPr>
          <w:p w14:paraId="02B326C6"/>
        </w:tc>
        <w:tc>
          <w:tcPr>
            <w:tcW w:w="6875" w:type="dxa"/>
          </w:tcPr>
          <w:p w14:paraId="026A22CF">
            <w:pPr>
              <w:spacing w:line="360" w:lineRule="auto"/>
              <w:rPr>
                <w:rFonts w:hint="eastAsia" w:ascii="宋体" w:eastAsia="宋体" w:cs="宋体"/>
                <w:kern w:val="0"/>
                <w:sz w:val="21"/>
                <w:szCs w:val="21"/>
              </w:rPr>
            </w:pPr>
            <w:r>
              <w:rPr>
                <w:rFonts w:hint="eastAsia" w:ascii="宋体" w:eastAsia="宋体" w:cs="宋体"/>
                <w:kern w:val="0"/>
                <w:sz w:val="21"/>
                <w:szCs w:val="21"/>
              </w:rPr>
              <w:t>3、配电</w:t>
            </w:r>
          </w:p>
          <w:p w14:paraId="719C5F97">
            <w:pPr>
              <w:spacing w:line="360" w:lineRule="auto"/>
              <w:rPr>
                <w:rFonts w:hint="eastAsia" w:ascii="宋体" w:eastAsia="宋体" w:cs="宋体"/>
                <w:kern w:val="0"/>
                <w:sz w:val="21"/>
                <w:szCs w:val="21"/>
              </w:rPr>
            </w:pPr>
            <w:r>
              <w:rPr>
                <w:rFonts w:hint="eastAsia" w:ascii="宋体" w:eastAsia="宋体" w:cs="宋体"/>
                <w:kern w:val="0"/>
                <w:sz w:val="21"/>
                <w:szCs w:val="21"/>
              </w:rPr>
              <w:t>（1）</w:t>
            </w:r>
            <w:r>
              <w:rPr>
                <w:rFonts w:hint="eastAsia" w:ascii="宋体" w:cs="宋体"/>
                <w:kern w:val="0"/>
                <w:sz w:val="21"/>
                <w:szCs w:val="21"/>
                <w:highlight w:val="none"/>
                <w:lang w:val="en-US" w:eastAsia="zh-CN"/>
              </w:rPr>
              <w:t>公务艇</w:t>
            </w:r>
            <w:r>
              <w:rPr>
                <w:rFonts w:hint="eastAsia" w:ascii="宋体" w:eastAsia="宋体" w:cs="宋体"/>
                <w:kern w:val="0"/>
                <w:sz w:val="21"/>
                <w:szCs w:val="21"/>
              </w:rPr>
              <w:t>配电系统采用DC12V双线绝缘系统。</w:t>
            </w:r>
          </w:p>
          <w:p w14:paraId="20805768">
            <w:pPr>
              <w:spacing w:line="360" w:lineRule="auto"/>
              <w:rPr>
                <w:rFonts w:hint="eastAsia" w:ascii="宋体" w:eastAsia="宋体" w:cs="宋体"/>
                <w:kern w:val="0"/>
                <w:sz w:val="21"/>
                <w:szCs w:val="21"/>
              </w:rPr>
            </w:pPr>
            <w:r>
              <w:rPr>
                <w:rFonts w:hint="eastAsia" w:ascii="宋体" w:eastAsia="宋体" w:cs="宋体"/>
                <w:kern w:val="0"/>
                <w:sz w:val="21"/>
                <w:szCs w:val="21"/>
              </w:rPr>
              <w:t>（2）</w:t>
            </w:r>
            <w:r>
              <w:rPr>
                <w:rFonts w:hint="eastAsia" w:ascii="宋体" w:cs="宋体"/>
                <w:kern w:val="0"/>
                <w:sz w:val="21"/>
                <w:szCs w:val="21"/>
                <w:highlight w:val="none"/>
                <w:lang w:val="en-US" w:eastAsia="zh-CN"/>
              </w:rPr>
              <w:t>公务艇</w:t>
            </w:r>
            <w:r>
              <w:rPr>
                <w:rFonts w:hint="eastAsia" w:ascii="宋体" w:eastAsia="宋体" w:cs="宋体"/>
                <w:kern w:val="0"/>
                <w:sz w:val="21"/>
                <w:szCs w:val="21"/>
              </w:rPr>
              <w:t>设有1块充放电板，通过断路器或熔断器对各直流用电设备进行控制，并对其进行电气保护。充放电板设有直流电压表、电流表各1块，供电和绝缘指示灯共3个，绝缘检测按钮1个。</w:t>
            </w:r>
          </w:p>
          <w:p w14:paraId="1867D4AA">
            <w:pPr>
              <w:spacing w:line="360" w:lineRule="auto"/>
              <w:rPr>
                <w:rFonts w:hint="eastAsia" w:ascii="宋体" w:eastAsia="宋体" w:cs="宋体"/>
                <w:kern w:val="0"/>
                <w:sz w:val="21"/>
                <w:szCs w:val="21"/>
              </w:rPr>
            </w:pPr>
            <w:r>
              <w:rPr>
                <w:rFonts w:hint="eastAsia" w:ascii="宋体" w:eastAsia="宋体" w:cs="宋体"/>
                <w:kern w:val="0"/>
                <w:sz w:val="21"/>
                <w:szCs w:val="21"/>
              </w:rPr>
              <w:t>（3）在驾驶室内装有1只航行信号灯板（NSB）控制全船的航行信号灯。当发生故障时，发出声光报警，提醒值班人员采取措施排除故障。当故障排除后，声光报警结束，恢复正常。</w:t>
            </w:r>
          </w:p>
        </w:tc>
      </w:tr>
      <w:tr w14:paraId="6259C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707" w:type="dxa"/>
            <w:vMerge w:val="continue"/>
          </w:tcPr>
          <w:p w14:paraId="54B3AE11"/>
        </w:tc>
        <w:tc>
          <w:tcPr>
            <w:tcW w:w="1292" w:type="dxa"/>
            <w:vMerge w:val="continue"/>
          </w:tcPr>
          <w:p w14:paraId="6503FBA3"/>
        </w:tc>
        <w:tc>
          <w:tcPr>
            <w:tcW w:w="6875" w:type="dxa"/>
          </w:tcPr>
          <w:p w14:paraId="21780BD2">
            <w:pPr>
              <w:spacing w:line="360" w:lineRule="auto"/>
              <w:rPr>
                <w:rFonts w:hint="eastAsia" w:ascii="宋体" w:eastAsia="宋体" w:cs="宋体"/>
                <w:kern w:val="0"/>
                <w:sz w:val="21"/>
                <w:szCs w:val="21"/>
              </w:rPr>
            </w:pPr>
            <w:r>
              <w:rPr>
                <w:rFonts w:hint="eastAsia" w:ascii="宋体" w:eastAsia="宋体" w:cs="宋体"/>
                <w:kern w:val="0"/>
                <w:sz w:val="21"/>
                <w:szCs w:val="21"/>
              </w:rPr>
              <w:t>4、电力设备</w:t>
            </w:r>
          </w:p>
          <w:p w14:paraId="11EA3504">
            <w:pPr>
              <w:spacing w:line="360" w:lineRule="auto"/>
              <w:rPr>
                <w:rFonts w:hint="eastAsia" w:ascii="宋体" w:eastAsia="宋体" w:cs="宋体"/>
                <w:kern w:val="0"/>
                <w:sz w:val="21"/>
                <w:szCs w:val="21"/>
              </w:rPr>
            </w:pPr>
            <w:r>
              <w:rPr>
                <w:rFonts w:hint="eastAsia" w:ascii="宋体" w:eastAsia="宋体" w:cs="宋体"/>
                <w:kern w:val="0"/>
                <w:sz w:val="21"/>
                <w:szCs w:val="21"/>
              </w:rPr>
              <w:t>（1）</w:t>
            </w:r>
            <w:r>
              <w:rPr>
                <w:rFonts w:hint="eastAsia" w:ascii="宋体" w:cs="宋体"/>
                <w:kern w:val="0"/>
                <w:sz w:val="21"/>
                <w:szCs w:val="21"/>
                <w:highlight w:val="none"/>
                <w:lang w:val="en-US" w:eastAsia="zh-CN"/>
              </w:rPr>
              <w:t>公务艇</w:t>
            </w:r>
            <w:r>
              <w:rPr>
                <w:rFonts w:hint="eastAsia" w:ascii="宋体" w:cs="宋体"/>
                <w:kern w:val="0"/>
                <w:sz w:val="21"/>
                <w:szCs w:val="21"/>
                <w:lang w:val="en-US" w:eastAsia="zh-CN"/>
              </w:rPr>
              <w:t>配备</w:t>
            </w:r>
            <w:r>
              <w:rPr>
                <w:rFonts w:hint="eastAsia" w:ascii="宋体" w:eastAsia="宋体" w:cs="宋体"/>
                <w:kern w:val="0"/>
                <w:sz w:val="21"/>
                <w:szCs w:val="21"/>
              </w:rPr>
              <w:t>有2台电动舱底泵（DC12V）。</w:t>
            </w:r>
          </w:p>
        </w:tc>
      </w:tr>
      <w:tr w14:paraId="30F02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707" w:type="dxa"/>
            <w:vMerge w:val="continue"/>
          </w:tcPr>
          <w:p w14:paraId="0681B083"/>
        </w:tc>
        <w:tc>
          <w:tcPr>
            <w:tcW w:w="1292" w:type="dxa"/>
            <w:vMerge w:val="continue"/>
          </w:tcPr>
          <w:p w14:paraId="62EB8C6E"/>
        </w:tc>
        <w:tc>
          <w:tcPr>
            <w:tcW w:w="6875" w:type="dxa"/>
          </w:tcPr>
          <w:p w14:paraId="26481EA8">
            <w:pPr>
              <w:spacing w:line="360" w:lineRule="auto"/>
              <w:rPr>
                <w:rFonts w:hint="eastAsia" w:ascii="宋体" w:eastAsia="宋体" w:cs="宋体"/>
                <w:kern w:val="0"/>
                <w:sz w:val="21"/>
                <w:szCs w:val="21"/>
              </w:rPr>
            </w:pPr>
            <w:r>
              <w:rPr>
                <w:rFonts w:hint="eastAsia" w:ascii="宋体" w:eastAsia="宋体" w:cs="宋体"/>
                <w:kern w:val="0"/>
                <w:sz w:val="21"/>
                <w:szCs w:val="21"/>
              </w:rPr>
              <w:t>5、照明</w:t>
            </w:r>
          </w:p>
          <w:p w14:paraId="7F02E647">
            <w:pPr>
              <w:spacing w:line="360" w:lineRule="auto"/>
              <w:rPr>
                <w:rFonts w:hint="eastAsia" w:ascii="宋体" w:eastAsia="宋体" w:cs="宋体"/>
                <w:kern w:val="0"/>
                <w:sz w:val="21"/>
                <w:szCs w:val="21"/>
              </w:rPr>
            </w:pPr>
            <w:r>
              <w:rPr>
                <w:rFonts w:hint="eastAsia" w:ascii="宋体" w:eastAsia="宋体" w:cs="宋体"/>
                <w:kern w:val="0"/>
                <w:sz w:val="21"/>
                <w:szCs w:val="21"/>
              </w:rPr>
              <w:t>（1）</w:t>
            </w:r>
            <w:r>
              <w:rPr>
                <w:rFonts w:hint="eastAsia" w:ascii="宋体" w:cs="宋体"/>
                <w:kern w:val="0"/>
                <w:sz w:val="21"/>
                <w:szCs w:val="21"/>
                <w:highlight w:val="none"/>
                <w:lang w:val="en-US" w:eastAsia="zh-CN"/>
              </w:rPr>
              <w:t>公务艇</w:t>
            </w:r>
            <w:r>
              <w:rPr>
                <w:rFonts w:hint="eastAsia" w:ascii="宋体" w:eastAsia="宋体" w:cs="宋体"/>
                <w:kern w:val="0"/>
                <w:sz w:val="21"/>
                <w:szCs w:val="21"/>
              </w:rPr>
              <w:t>艉舱及驾驶区设有舱顶灯。</w:t>
            </w:r>
          </w:p>
          <w:p w14:paraId="68910602">
            <w:pPr>
              <w:spacing w:line="360" w:lineRule="auto"/>
              <w:rPr>
                <w:rFonts w:hint="eastAsia" w:ascii="宋体" w:eastAsia="宋体" w:cs="宋体"/>
                <w:kern w:val="0"/>
                <w:sz w:val="21"/>
                <w:szCs w:val="21"/>
              </w:rPr>
            </w:pPr>
            <w:r>
              <w:rPr>
                <w:rFonts w:hint="eastAsia" w:ascii="宋体" w:eastAsia="宋体" w:cs="宋体"/>
                <w:kern w:val="0"/>
                <w:sz w:val="21"/>
                <w:szCs w:val="21"/>
              </w:rPr>
              <w:t>（2）尾甲板配1盏泛光灯。</w:t>
            </w:r>
          </w:p>
          <w:p w14:paraId="0801A6EB">
            <w:pPr>
              <w:spacing w:line="360" w:lineRule="auto"/>
              <w:rPr>
                <w:rFonts w:hint="eastAsia" w:ascii="宋体" w:eastAsia="宋体" w:cs="宋体"/>
                <w:kern w:val="0"/>
                <w:sz w:val="21"/>
                <w:szCs w:val="21"/>
              </w:rPr>
            </w:pPr>
            <w:r>
              <w:rPr>
                <w:rFonts w:hint="eastAsia" w:ascii="宋体" w:eastAsia="宋体" w:cs="宋体"/>
                <w:kern w:val="0"/>
                <w:sz w:val="21"/>
                <w:szCs w:val="21"/>
              </w:rPr>
              <w:t>（3）驾驶室顶设有1只电动遥控探照灯，控制开关设在驾控台。</w:t>
            </w:r>
          </w:p>
        </w:tc>
      </w:tr>
      <w:tr w14:paraId="3537C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707" w:type="dxa"/>
            <w:vMerge w:val="continue"/>
          </w:tcPr>
          <w:p w14:paraId="758B0236"/>
        </w:tc>
        <w:tc>
          <w:tcPr>
            <w:tcW w:w="1292" w:type="dxa"/>
            <w:vMerge w:val="continue"/>
          </w:tcPr>
          <w:p w14:paraId="485FE8C4"/>
        </w:tc>
        <w:tc>
          <w:tcPr>
            <w:tcW w:w="6875" w:type="dxa"/>
          </w:tcPr>
          <w:p w14:paraId="14F7AD4F">
            <w:pPr>
              <w:spacing w:line="360" w:lineRule="auto"/>
              <w:rPr>
                <w:rFonts w:hint="eastAsia" w:ascii="宋体" w:eastAsia="宋体" w:cs="宋体"/>
                <w:kern w:val="0"/>
                <w:sz w:val="21"/>
                <w:szCs w:val="21"/>
              </w:rPr>
            </w:pPr>
            <w:r>
              <w:rPr>
                <w:rFonts w:hint="eastAsia" w:ascii="宋体" w:eastAsia="宋体" w:cs="宋体"/>
                <w:kern w:val="0"/>
                <w:sz w:val="21"/>
                <w:szCs w:val="21"/>
              </w:rPr>
              <w:t>6、航行信号设备</w:t>
            </w:r>
          </w:p>
          <w:p w14:paraId="45578033">
            <w:pPr>
              <w:spacing w:line="360" w:lineRule="auto"/>
              <w:rPr>
                <w:rFonts w:hint="eastAsia" w:ascii="宋体" w:eastAsia="宋体" w:cs="宋体"/>
                <w:kern w:val="0"/>
                <w:sz w:val="21"/>
                <w:szCs w:val="21"/>
              </w:rPr>
            </w:pPr>
            <w:r>
              <w:rPr>
                <w:rFonts w:hint="eastAsia" w:ascii="宋体" w:cs="宋体"/>
                <w:kern w:val="0"/>
                <w:sz w:val="21"/>
                <w:szCs w:val="21"/>
                <w:highlight w:val="none"/>
                <w:lang w:val="en-US" w:eastAsia="zh-CN"/>
              </w:rPr>
              <w:t>公务艇</w:t>
            </w:r>
            <w:r>
              <w:rPr>
                <w:rFonts w:hint="eastAsia" w:ascii="宋体" w:eastAsia="宋体" w:cs="宋体"/>
                <w:kern w:val="0"/>
                <w:sz w:val="21"/>
                <w:szCs w:val="21"/>
              </w:rPr>
              <w:t>航行信号灯按规范要求配置。所有航行信号灯可通过设在驾驶台的航行信号灯板进行控制。航行信号灯板具有故障声光报警功能。</w:t>
            </w:r>
          </w:p>
        </w:tc>
      </w:tr>
      <w:tr w14:paraId="7F078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707" w:type="dxa"/>
            <w:vMerge w:val="continue"/>
          </w:tcPr>
          <w:p w14:paraId="414B92EB"/>
        </w:tc>
        <w:tc>
          <w:tcPr>
            <w:tcW w:w="1292" w:type="dxa"/>
            <w:vMerge w:val="continue"/>
          </w:tcPr>
          <w:p w14:paraId="218CE7C0"/>
        </w:tc>
        <w:tc>
          <w:tcPr>
            <w:tcW w:w="6875" w:type="dxa"/>
          </w:tcPr>
          <w:p w14:paraId="35DC4328">
            <w:pPr>
              <w:spacing w:line="360" w:lineRule="auto"/>
              <w:rPr>
                <w:rFonts w:hint="eastAsia" w:ascii="宋体" w:eastAsia="宋体" w:cs="宋体"/>
                <w:kern w:val="0"/>
                <w:sz w:val="21"/>
                <w:szCs w:val="21"/>
              </w:rPr>
            </w:pPr>
            <w:r>
              <w:rPr>
                <w:rFonts w:hint="eastAsia" w:ascii="宋体" w:eastAsia="宋体" w:cs="宋体"/>
                <w:kern w:val="0"/>
                <w:sz w:val="21"/>
                <w:szCs w:val="21"/>
              </w:rPr>
              <w:t>7、航行设备</w:t>
            </w:r>
          </w:p>
          <w:p w14:paraId="33D79F7F">
            <w:pPr>
              <w:spacing w:line="360" w:lineRule="auto"/>
              <w:rPr>
                <w:rFonts w:hint="eastAsia" w:ascii="宋体" w:eastAsia="宋体" w:cs="宋体"/>
                <w:kern w:val="0"/>
                <w:sz w:val="21"/>
                <w:szCs w:val="21"/>
              </w:rPr>
            </w:pPr>
            <w:r>
              <w:rPr>
                <w:rFonts w:hint="eastAsia" w:ascii="宋体" w:eastAsia="宋体" w:cs="宋体"/>
                <w:kern w:val="0"/>
                <w:sz w:val="21"/>
                <w:szCs w:val="21"/>
              </w:rPr>
              <w:t>（1）配有1台磁罗经。</w:t>
            </w:r>
          </w:p>
          <w:p w14:paraId="5D1DDE01">
            <w:pPr>
              <w:spacing w:line="360" w:lineRule="auto"/>
              <w:rPr>
                <w:rFonts w:hint="eastAsia" w:ascii="宋体" w:eastAsia="宋体" w:cs="宋体"/>
                <w:kern w:val="0"/>
                <w:sz w:val="21"/>
                <w:szCs w:val="21"/>
              </w:rPr>
            </w:pPr>
            <w:r>
              <w:rPr>
                <w:rFonts w:hint="eastAsia" w:ascii="宋体" w:eastAsia="宋体" w:cs="宋体"/>
                <w:kern w:val="0"/>
                <w:sz w:val="21"/>
                <w:szCs w:val="21"/>
              </w:rPr>
              <w:t>（2）配有1台多功能导航系统一套，兼测深、GPS、雷达及海图功能，含多功能显示器一台、雷达天线一套、定位仪天线一根、海图卡一张、测深探头一个。</w:t>
            </w:r>
          </w:p>
          <w:p w14:paraId="0642FA57">
            <w:pPr>
              <w:spacing w:line="360" w:lineRule="auto"/>
              <w:rPr>
                <w:rFonts w:hint="eastAsia" w:ascii="宋体" w:eastAsia="宋体" w:cs="宋体"/>
                <w:kern w:val="0"/>
                <w:sz w:val="21"/>
                <w:szCs w:val="21"/>
              </w:rPr>
            </w:pPr>
            <w:r>
              <w:rPr>
                <w:rFonts w:hint="eastAsia" w:ascii="宋体" w:eastAsia="宋体" w:cs="宋体"/>
                <w:kern w:val="0"/>
                <w:sz w:val="21"/>
                <w:szCs w:val="21"/>
              </w:rPr>
              <w:t>（3）配有1套基于北斗B级自动识别系统。</w:t>
            </w:r>
          </w:p>
        </w:tc>
      </w:tr>
      <w:tr w14:paraId="5E866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707" w:type="dxa"/>
            <w:vMerge w:val="continue"/>
          </w:tcPr>
          <w:p w14:paraId="00E9AF9F"/>
        </w:tc>
        <w:tc>
          <w:tcPr>
            <w:tcW w:w="1292" w:type="dxa"/>
            <w:vMerge w:val="continue"/>
          </w:tcPr>
          <w:p w14:paraId="3D3D8F4C"/>
        </w:tc>
        <w:tc>
          <w:tcPr>
            <w:tcW w:w="6875" w:type="dxa"/>
          </w:tcPr>
          <w:p w14:paraId="2E9C8DA9">
            <w:pPr>
              <w:spacing w:line="360" w:lineRule="auto"/>
              <w:rPr>
                <w:rFonts w:hint="eastAsia" w:ascii="宋体" w:eastAsia="宋体" w:cs="宋体"/>
                <w:kern w:val="0"/>
                <w:sz w:val="21"/>
                <w:szCs w:val="21"/>
              </w:rPr>
            </w:pPr>
            <w:r>
              <w:rPr>
                <w:rFonts w:hint="eastAsia" w:ascii="宋体" w:eastAsia="宋体" w:cs="宋体"/>
                <w:kern w:val="0"/>
                <w:sz w:val="21"/>
                <w:szCs w:val="21"/>
              </w:rPr>
              <w:t>8</w:t>
            </w:r>
            <w:r>
              <w:rPr>
                <w:rFonts w:hint="eastAsia" w:ascii="宋体" w:cs="宋体"/>
                <w:kern w:val="0"/>
                <w:sz w:val="21"/>
                <w:szCs w:val="21"/>
                <w:lang w:eastAsia="zh-CN"/>
              </w:rPr>
              <w:t>、</w:t>
            </w:r>
            <w:r>
              <w:rPr>
                <w:rFonts w:hint="eastAsia" w:ascii="宋体" w:eastAsia="宋体" w:cs="宋体"/>
                <w:kern w:val="0"/>
                <w:sz w:val="21"/>
                <w:szCs w:val="21"/>
              </w:rPr>
              <w:t>无线电通信设备</w:t>
            </w:r>
          </w:p>
          <w:p w14:paraId="36F00107">
            <w:pPr>
              <w:spacing w:line="360" w:lineRule="auto"/>
              <w:rPr>
                <w:rFonts w:hint="eastAsia" w:ascii="宋体" w:eastAsia="宋体" w:cs="宋体"/>
                <w:kern w:val="0"/>
                <w:sz w:val="21"/>
                <w:szCs w:val="21"/>
              </w:rPr>
            </w:pPr>
            <w:r>
              <w:rPr>
                <w:rFonts w:hint="eastAsia" w:ascii="宋体" w:eastAsia="宋体" w:cs="宋体"/>
                <w:kern w:val="0"/>
                <w:sz w:val="21"/>
                <w:szCs w:val="21"/>
              </w:rPr>
              <w:t>（1）配有1套甚高频电话，带DSC功能。</w:t>
            </w:r>
          </w:p>
          <w:p w14:paraId="6A15E71B">
            <w:pPr>
              <w:spacing w:line="360" w:lineRule="auto"/>
              <w:rPr>
                <w:rFonts w:hint="eastAsia" w:ascii="宋体" w:eastAsia="宋体" w:cs="宋体"/>
                <w:kern w:val="0"/>
                <w:sz w:val="21"/>
                <w:szCs w:val="21"/>
              </w:rPr>
            </w:pPr>
            <w:r>
              <w:rPr>
                <w:rFonts w:hint="eastAsia" w:ascii="宋体" w:eastAsia="宋体" w:cs="宋体"/>
                <w:kern w:val="0"/>
                <w:sz w:val="21"/>
                <w:szCs w:val="21"/>
              </w:rPr>
              <w:t>（2）配有1台便携式甚高频电话。</w:t>
            </w:r>
          </w:p>
          <w:p w14:paraId="49B78548">
            <w:pPr>
              <w:spacing w:line="360" w:lineRule="auto"/>
              <w:rPr>
                <w:rFonts w:hint="eastAsia" w:ascii="宋体" w:eastAsia="宋体" w:cs="宋体"/>
                <w:kern w:val="0"/>
                <w:sz w:val="21"/>
                <w:szCs w:val="21"/>
              </w:rPr>
            </w:pPr>
            <w:r>
              <w:rPr>
                <w:rFonts w:hint="eastAsia" w:ascii="宋体" w:eastAsia="宋体" w:cs="宋体"/>
                <w:kern w:val="0"/>
                <w:sz w:val="21"/>
                <w:szCs w:val="21"/>
              </w:rPr>
              <w:t>（3）配有1台雷达应答器。</w:t>
            </w:r>
          </w:p>
          <w:p w14:paraId="5171C2EE">
            <w:pPr>
              <w:spacing w:line="360" w:lineRule="auto"/>
              <w:rPr>
                <w:rFonts w:hint="eastAsia" w:ascii="宋体" w:eastAsia="宋体" w:cs="宋体"/>
                <w:kern w:val="0"/>
                <w:sz w:val="21"/>
                <w:szCs w:val="21"/>
              </w:rPr>
            </w:pPr>
            <w:r>
              <w:rPr>
                <w:rFonts w:hint="eastAsia" w:ascii="宋体" w:eastAsia="宋体" w:cs="宋体"/>
                <w:kern w:val="0"/>
                <w:sz w:val="21"/>
                <w:szCs w:val="21"/>
              </w:rPr>
              <w:t>（4）配有1台双向甚高频电话。</w:t>
            </w:r>
          </w:p>
        </w:tc>
      </w:tr>
      <w:tr w14:paraId="6034C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707" w:type="dxa"/>
            <w:vMerge w:val="continue"/>
          </w:tcPr>
          <w:p w14:paraId="4AD0B1E2"/>
        </w:tc>
        <w:tc>
          <w:tcPr>
            <w:tcW w:w="1292" w:type="dxa"/>
            <w:vMerge w:val="continue"/>
          </w:tcPr>
          <w:p w14:paraId="49B9B190"/>
        </w:tc>
        <w:tc>
          <w:tcPr>
            <w:tcW w:w="6875" w:type="dxa"/>
          </w:tcPr>
          <w:p w14:paraId="059C0114">
            <w:pPr>
              <w:spacing w:line="360" w:lineRule="auto"/>
              <w:rPr>
                <w:rFonts w:hint="eastAsia" w:ascii="宋体" w:eastAsia="宋体" w:cs="宋体"/>
                <w:kern w:val="0"/>
                <w:sz w:val="21"/>
                <w:szCs w:val="21"/>
              </w:rPr>
            </w:pPr>
            <w:r>
              <w:rPr>
                <w:rFonts w:hint="eastAsia" w:ascii="宋体" w:eastAsia="宋体" w:cs="宋体"/>
                <w:kern w:val="0"/>
                <w:sz w:val="21"/>
                <w:szCs w:val="21"/>
              </w:rPr>
              <w:t>9</w:t>
            </w:r>
            <w:r>
              <w:rPr>
                <w:rFonts w:hint="eastAsia" w:ascii="宋体" w:cs="宋体"/>
                <w:kern w:val="0"/>
                <w:sz w:val="21"/>
                <w:szCs w:val="21"/>
                <w:lang w:eastAsia="zh-CN"/>
              </w:rPr>
              <w:t>、</w:t>
            </w:r>
            <w:r>
              <w:rPr>
                <w:rFonts w:hint="eastAsia" w:ascii="宋体" w:eastAsia="宋体" w:cs="宋体"/>
                <w:kern w:val="0"/>
                <w:sz w:val="21"/>
                <w:szCs w:val="21"/>
              </w:rPr>
              <w:t>船内通信和报警设备</w:t>
            </w:r>
          </w:p>
          <w:p w14:paraId="413A60E1">
            <w:pPr>
              <w:spacing w:line="360" w:lineRule="auto"/>
              <w:rPr>
                <w:rFonts w:hint="eastAsia" w:ascii="宋体" w:eastAsia="宋体" w:cs="宋体"/>
                <w:kern w:val="0"/>
                <w:sz w:val="21"/>
                <w:szCs w:val="21"/>
              </w:rPr>
            </w:pPr>
            <w:r>
              <w:rPr>
                <w:rFonts w:hint="eastAsia" w:ascii="宋体" w:eastAsia="宋体" w:cs="宋体"/>
                <w:kern w:val="0"/>
                <w:sz w:val="21"/>
                <w:szCs w:val="21"/>
              </w:rPr>
              <w:t xml:space="preserve">（1） </w:t>
            </w:r>
            <w:r>
              <w:rPr>
                <w:rFonts w:hint="eastAsia" w:ascii="宋体" w:cs="宋体"/>
                <w:kern w:val="0"/>
                <w:sz w:val="21"/>
                <w:szCs w:val="21"/>
                <w:highlight w:val="none"/>
                <w:lang w:val="en-US" w:eastAsia="zh-CN"/>
              </w:rPr>
              <w:t>公务艇</w:t>
            </w:r>
            <w:r>
              <w:rPr>
                <w:rFonts w:hint="eastAsia" w:ascii="宋体" w:eastAsia="宋体" w:cs="宋体"/>
                <w:kern w:val="0"/>
                <w:sz w:val="21"/>
                <w:szCs w:val="21"/>
              </w:rPr>
              <w:t>在驾驶室底水报警装置1套，并在艉舱及艏尖舱设有高水位报警浮子开关。</w:t>
            </w:r>
          </w:p>
          <w:p w14:paraId="3250613D">
            <w:pPr>
              <w:spacing w:line="360" w:lineRule="auto"/>
              <w:rPr>
                <w:rFonts w:hint="eastAsia" w:ascii="宋体" w:eastAsia="宋体" w:cs="宋体"/>
                <w:kern w:val="0"/>
                <w:sz w:val="21"/>
                <w:szCs w:val="21"/>
              </w:rPr>
            </w:pPr>
            <w:r>
              <w:rPr>
                <w:rFonts w:hint="eastAsia" w:ascii="宋体" w:eastAsia="宋体" w:cs="宋体"/>
                <w:kern w:val="0"/>
                <w:sz w:val="21"/>
                <w:szCs w:val="21"/>
              </w:rPr>
              <w:t>（2）顶部设电笛1只，由驾控台电笛开关控制。</w:t>
            </w:r>
          </w:p>
        </w:tc>
      </w:tr>
      <w:tr w14:paraId="390B2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707" w:type="dxa"/>
            <w:vMerge w:val="continue"/>
          </w:tcPr>
          <w:p w14:paraId="780A88FE"/>
        </w:tc>
        <w:tc>
          <w:tcPr>
            <w:tcW w:w="1292" w:type="dxa"/>
            <w:vMerge w:val="continue"/>
          </w:tcPr>
          <w:p w14:paraId="4E116BCB"/>
        </w:tc>
        <w:tc>
          <w:tcPr>
            <w:tcW w:w="6875" w:type="dxa"/>
          </w:tcPr>
          <w:p w14:paraId="19EAB05B">
            <w:pPr>
              <w:spacing w:line="360" w:lineRule="auto"/>
              <w:rPr>
                <w:rFonts w:hint="eastAsia" w:ascii="宋体" w:eastAsia="宋体" w:cs="宋体"/>
                <w:kern w:val="0"/>
                <w:sz w:val="21"/>
                <w:szCs w:val="21"/>
              </w:rPr>
            </w:pPr>
            <w:r>
              <w:rPr>
                <w:rFonts w:hint="eastAsia" w:ascii="宋体" w:eastAsia="宋体" w:cs="宋体"/>
                <w:kern w:val="0"/>
                <w:sz w:val="21"/>
                <w:szCs w:val="21"/>
              </w:rPr>
              <w:t>10 避雷与设备安全接地</w:t>
            </w:r>
          </w:p>
          <w:p w14:paraId="0A691A46">
            <w:pPr>
              <w:spacing w:line="360" w:lineRule="auto"/>
              <w:rPr>
                <w:rFonts w:hint="eastAsia" w:ascii="宋体" w:eastAsia="宋体" w:cs="宋体"/>
                <w:kern w:val="0"/>
                <w:sz w:val="21"/>
                <w:szCs w:val="21"/>
              </w:rPr>
            </w:pPr>
            <w:r>
              <w:rPr>
                <w:rFonts w:hint="eastAsia" w:ascii="宋体" w:eastAsia="宋体" w:cs="宋体"/>
                <w:kern w:val="0"/>
                <w:sz w:val="21"/>
                <w:szCs w:val="21"/>
              </w:rPr>
              <w:t>（1）在顶蓬甲板的桅杆顶部安装有一根φ12</w:t>
            </w:r>
            <w:r>
              <w:rPr>
                <w:rFonts w:hint="eastAsia" w:ascii="宋体" w:cs="宋体"/>
                <w:kern w:val="0"/>
                <w:sz w:val="21"/>
                <w:szCs w:val="21"/>
                <w:lang w:val="en-US" w:eastAsia="zh-CN"/>
              </w:rPr>
              <w:t>mm</w:t>
            </w:r>
            <w:r>
              <w:rPr>
                <w:rFonts w:hint="eastAsia" w:ascii="宋体" w:eastAsia="宋体" w:cs="宋体"/>
                <w:kern w:val="0"/>
                <w:sz w:val="21"/>
                <w:szCs w:val="21"/>
              </w:rPr>
              <w:t xml:space="preserve">, L=300mm的铝合金避雷针，横截面不小于8mm²,并高于桅杆灯150mm。通过桅杆与船壳连接。 </w:t>
            </w:r>
          </w:p>
          <w:p w14:paraId="4490E882">
            <w:pPr>
              <w:spacing w:line="360" w:lineRule="auto"/>
              <w:rPr>
                <w:rFonts w:hint="eastAsia" w:ascii="宋体" w:eastAsia="宋体" w:cs="宋体"/>
                <w:kern w:val="0"/>
                <w:sz w:val="21"/>
                <w:szCs w:val="21"/>
              </w:rPr>
            </w:pPr>
            <w:r>
              <w:rPr>
                <w:rFonts w:hint="eastAsia" w:ascii="宋体" w:eastAsia="宋体" w:cs="宋体"/>
                <w:kern w:val="0"/>
                <w:sz w:val="21"/>
                <w:szCs w:val="21"/>
              </w:rPr>
              <w:t>（2）</w:t>
            </w:r>
            <w:r>
              <w:rPr>
                <w:rFonts w:hint="eastAsia" w:ascii="宋体" w:cs="宋体"/>
                <w:kern w:val="0"/>
                <w:sz w:val="21"/>
                <w:szCs w:val="21"/>
                <w:highlight w:val="none"/>
                <w:lang w:val="en-US" w:eastAsia="zh-CN"/>
              </w:rPr>
              <w:t>公务艇</w:t>
            </w:r>
            <w:r>
              <w:rPr>
                <w:rFonts w:hint="eastAsia" w:ascii="宋体" w:eastAsia="宋体" w:cs="宋体"/>
                <w:kern w:val="0"/>
                <w:sz w:val="21"/>
                <w:szCs w:val="21"/>
              </w:rPr>
              <w:t>的油箱、主机、全船栏杆、配电箱等设备均需有效接地。</w:t>
            </w:r>
          </w:p>
        </w:tc>
      </w:tr>
      <w:tr w14:paraId="65C71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707" w:type="dxa"/>
            <w:vMerge w:val="continue"/>
          </w:tcPr>
          <w:p w14:paraId="0D84BF20"/>
        </w:tc>
        <w:tc>
          <w:tcPr>
            <w:tcW w:w="1292" w:type="dxa"/>
            <w:vMerge w:val="continue"/>
          </w:tcPr>
          <w:p w14:paraId="77D4C692"/>
        </w:tc>
        <w:tc>
          <w:tcPr>
            <w:tcW w:w="6875" w:type="dxa"/>
          </w:tcPr>
          <w:p w14:paraId="3D6D80EC">
            <w:pPr>
              <w:spacing w:line="360" w:lineRule="auto"/>
              <w:rPr>
                <w:rFonts w:hint="eastAsia" w:ascii="宋体" w:eastAsia="宋体" w:cs="宋体"/>
                <w:kern w:val="0"/>
                <w:sz w:val="21"/>
                <w:szCs w:val="21"/>
              </w:rPr>
            </w:pPr>
            <w:r>
              <w:rPr>
                <w:rFonts w:hint="eastAsia" w:ascii="宋体" w:eastAsia="宋体" w:cs="宋体"/>
                <w:kern w:val="0"/>
                <w:sz w:val="21"/>
                <w:szCs w:val="21"/>
              </w:rPr>
              <w:t>11 电缆</w:t>
            </w:r>
          </w:p>
          <w:p w14:paraId="48EE2993">
            <w:pPr>
              <w:spacing w:line="360" w:lineRule="auto"/>
              <w:rPr>
                <w:rFonts w:hint="eastAsia" w:ascii="宋体" w:eastAsia="宋体" w:cs="宋体"/>
                <w:kern w:val="0"/>
                <w:sz w:val="21"/>
                <w:szCs w:val="21"/>
              </w:rPr>
            </w:pPr>
            <w:r>
              <w:rPr>
                <w:rFonts w:hint="eastAsia" w:ascii="宋体" w:eastAsia="宋体" w:cs="宋体"/>
                <w:kern w:val="0"/>
                <w:sz w:val="21"/>
                <w:szCs w:val="21"/>
              </w:rPr>
              <w:t>（1）</w:t>
            </w:r>
            <w:r>
              <w:rPr>
                <w:rFonts w:hint="eastAsia" w:ascii="宋体" w:cs="宋体"/>
                <w:kern w:val="0"/>
                <w:sz w:val="21"/>
                <w:szCs w:val="21"/>
                <w:highlight w:val="none"/>
                <w:lang w:val="en-US" w:eastAsia="zh-CN"/>
              </w:rPr>
              <w:t>公务艇</w:t>
            </w:r>
            <w:r>
              <w:rPr>
                <w:rFonts w:hint="eastAsia" w:ascii="宋体" w:eastAsia="宋体" w:cs="宋体"/>
                <w:kern w:val="0"/>
                <w:sz w:val="21"/>
                <w:szCs w:val="21"/>
              </w:rPr>
              <w:t>电缆采用“CCS”认可型CEPF、CEFR船用电缆（随机电缆除外）。</w:t>
            </w:r>
          </w:p>
          <w:p w14:paraId="7B86DDB8">
            <w:pPr>
              <w:spacing w:line="360" w:lineRule="auto"/>
              <w:rPr>
                <w:rFonts w:hint="eastAsia" w:ascii="宋体" w:eastAsia="宋体" w:cs="宋体"/>
                <w:kern w:val="0"/>
                <w:sz w:val="21"/>
                <w:szCs w:val="21"/>
              </w:rPr>
            </w:pPr>
            <w:r>
              <w:rPr>
                <w:rFonts w:hint="eastAsia" w:ascii="宋体" w:eastAsia="宋体" w:cs="宋体"/>
                <w:kern w:val="0"/>
                <w:sz w:val="21"/>
                <w:szCs w:val="21"/>
              </w:rPr>
              <w:t>（2）全船电缆应拉敷整齐，平直，易于检修。</w:t>
            </w:r>
          </w:p>
          <w:p w14:paraId="5488D616">
            <w:pPr>
              <w:spacing w:line="360" w:lineRule="auto"/>
              <w:rPr>
                <w:rFonts w:hint="eastAsia" w:ascii="宋体" w:eastAsia="宋体" w:cs="宋体"/>
                <w:kern w:val="0"/>
                <w:sz w:val="21"/>
                <w:szCs w:val="21"/>
              </w:rPr>
            </w:pPr>
            <w:r>
              <w:rPr>
                <w:rFonts w:hint="eastAsia" w:ascii="宋体" w:eastAsia="宋体" w:cs="宋体"/>
                <w:kern w:val="0"/>
                <w:sz w:val="21"/>
                <w:szCs w:val="21"/>
              </w:rPr>
              <w:t>（3）电缆的穿舱件应确保水密性。</w:t>
            </w:r>
          </w:p>
        </w:tc>
      </w:tr>
    </w:tbl>
    <w:p w14:paraId="1FA4673D"/>
    <w:p w14:paraId="74B5C194"/>
    <w:p w14:paraId="267A4F06">
      <w:pPr>
        <w:pStyle w:val="5"/>
        <w:spacing w:before="120" w:beforeLines="50" w:after="120" w:afterLines="50"/>
        <w:rPr>
          <w:b/>
          <w:bCs/>
          <w:sz w:val="28"/>
          <w:szCs w:val="28"/>
        </w:rPr>
      </w:pPr>
      <w:r>
        <w:rPr>
          <w:rFonts w:hint="eastAsia"/>
          <w:b/>
          <w:bCs/>
          <w:sz w:val="28"/>
          <w:szCs w:val="28"/>
        </w:rPr>
        <w:t>五、商务要求</w:t>
      </w:r>
    </w:p>
    <w:tbl>
      <w:tblPr>
        <w:tblStyle w:val="42"/>
        <w:tblW w:w="878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98"/>
        <w:gridCol w:w="6449"/>
      </w:tblGrid>
      <w:tr w14:paraId="1489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840" w:type="dxa"/>
            <w:vAlign w:val="center"/>
          </w:tcPr>
          <w:p w14:paraId="6A919A7D">
            <w:pPr>
              <w:spacing w:line="360" w:lineRule="auto"/>
              <w:jc w:val="center"/>
              <w:rPr>
                <w:rFonts w:hint="eastAsia" w:ascii="宋体" w:eastAsia="宋体" w:cs="宋体"/>
                <w:b/>
                <w:sz w:val="21"/>
                <w:szCs w:val="21"/>
              </w:rPr>
            </w:pPr>
            <w:r>
              <w:rPr>
                <w:rFonts w:hint="eastAsia" w:ascii="宋体" w:eastAsia="宋体" w:cs="宋体"/>
                <w:b/>
                <w:sz w:val="21"/>
                <w:szCs w:val="21"/>
              </w:rPr>
              <w:t>序号</w:t>
            </w:r>
          </w:p>
        </w:tc>
        <w:tc>
          <w:tcPr>
            <w:tcW w:w="1498" w:type="dxa"/>
            <w:vAlign w:val="center"/>
          </w:tcPr>
          <w:p w14:paraId="701E860D">
            <w:pPr>
              <w:spacing w:line="360" w:lineRule="auto"/>
              <w:jc w:val="center"/>
              <w:rPr>
                <w:rFonts w:hint="eastAsia" w:ascii="宋体" w:eastAsia="宋体" w:cs="宋体"/>
                <w:b/>
                <w:sz w:val="21"/>
                <w:szCs w:val="21"/>
              </w:rPr>
            </w:pPr>
            <w:r>
              <w:rPr>
                <w:rFonts w:hint="eastAsia" w:ascii="宋体" w:eastAsia="宋体" w:cs="宋体"/>
                <w:b/>
                <w:sz w:val="21"/>
                <w:szCs w:val="21"/>
              </w:rPr>
              <w:t>商务需求项</w:t>
            </w:r>
          </w:p>
        </w:tc>
        <w:tc>
          <w:tcPr>
            <w:tcW w:w="6449" w:type="dxa"/>
            <w:vAlign w:val="center"/>
          </w:tcPr>
          <w:p w14:paraId="05F7D374">
            <w:pPr>
              <w:spacing w:line="360" w:lineRule="auto"/>
              <w:jc w:val="center"/>
              <w:rPr>
                <w:rFonts w:hint="eastAsia" w:ascii="宋体" w:eastAsia="宋体" w:cs="宋体"/>
                <w:b/>
                <w:sz w:val="21"/>
                <w:szCs w:val="21"/>
              </w:rPr>
            </w:pPr>
            <w:r>
              <w:rPr>
                <w:rFonts w:hint="eastAsia" w:ascii="宋体" w:eastAsia="宋体" w:cs="宋体"/>
                <w:b/>
                <w:sz w:val="21"/>
                <w:szCs w:val="21"/>
              </w:rPr>
              <w:t>招标商务要求</w:t>
            </w:r>
          </w:p>
        </w:tc>
      </w:tr>
      <w:tr w14:paraId="0F78B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8787" w:type="dxa"/>
            <w:gridSpan w:val="3"/>
          </w:tcPr>
          <w:p w14:paraId="6A81ED21">
            <w:pPr>
              <w:spacing w:line="360" w:lineRule="auto"/>
              <w:rPr>
                <w:rFonts w:hint="eastAsia" w:ascii="宋体" w:eastAsia="宋体" w:cs="宋体"/>
                <w:b/>
                <w:sz w:val="21"/>
                <w:szCs w:val="21"/>
              </w:rPr>
            </w:pPr>
            <w:r>
              <w:rPr>
                <w:rFonts w:hint="eastAsia" w:ascii="宋体" w:eastAsia="宋体" w:cs="宋体"/>
                <w:b/>
                <w:sz w:val="21"/>
                <w:szCs w:val="21"/>
              </w:rPr>
              <w:t>（一）免费保修期内售后服务要求</w:t>
            </w:r>
          </w:p>
        </w:tc>
      </w:tr>
      <w:tr w14:paraId="2B2B4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840" w:type="dxa"/>
            <w:vAlign w:val="center"/>
          </w:tcPr>
          <w:p w14:paraId="14A47F25">
            <w:pPr>
              <w:spacing w:line="360" w:lineRule="auto"/>
              <w:jc w:val="center"/>
              <w:rPr>
                <w:rFonts w:hint="eastAsia" w:ascii="宋体" w:eastAsia="宋体" w:cs="宋体"/>
                <w:bCs/>
                <w:sz w:val="21"/>
                <w:szCs w:val="21"/>
              </w:rPr>
            </w:pPr>
            <w:r>
              <w:rPr>
                <w:rFonts w:hint="eastAsia" w:ascii="宋体" w:eastAsia="宋体" w:cs="宋体"/>
                <w:bCs/>
                <w:sz w:val="21"/>
                <w:szCs w:val="21"/>
              </w:rPr>
              <w:t>1</w:t>
            </w:r>
          </w:p>
        </w:tc>
        <w:tc>
          <w:tcPr>
            <w:tcW w:w="1498" w:type="dxa"/>
          </w:tcPr>
          <w:p w14:paraId="48F1B4D5">
            <w:pPr>
              <w:spacing w:line="360" w:lineRule="auto"/>
              <w:jc w:val="center"/>
              <w:rPr>
                <w:rFonts w:hint="eastAsia" w:ascii="宋体" w:eastAsia="宋体" w:cs="宋体"/>
                <w:sz w:val="21"/>
                <w:szCs w:val="21"/>
              </w:rPr>
            </w:pPr>
            <w:r>
              <w:rPr>
                <w:rFonts w:hint="eastAsia" w:ascii="宋体" w:eastAsia="宋体" w:cs="宋体"/>
                <w:sz w:val="21"/>
                <w:szCs w:val="21"/>
              </w:rPr>
              <w:t>维修响应及故障解决时间</w:t>
            </w:r>
          </w:p>
        </w:tc>
        <w:tc>
          <w:tcPr>
            <w:tcW w:w="6449" w:type="dxa"/>
          </w:tcPr>
          <w:p w14:paraId="4FA3E093">
            <w:pPr>
              <w:spacing w:line="360" w:lineRule="auto"/>
              <w:rPr>
                <w:rFonts w:hint="eastAsia" w:ascii="宋体" w:eastAsia="宋体" w:cs="宋体"/>
                <w:b/>
                <w:sz w:val="21"/>
                <w:szCs w:val="21"/>
              </w:rPr>
            </w:pPr>
            <w:r>
              <w:rPr>
                <w:rFonts w:hint="eastAsia" w:ascii="宋体" w:eastAsia="宋体" w:cs="宋体"/>
                <w:bCs/>
                <w:sz w:val="21"/>
                <w:szCs w:val="21"/>
              </w:rPr>
              <w:t>1.1在免费保修期内，一旦发生质量问题，中标人保证在接到通知</w:t>
            </w:r>
            <w:r>
              <w:rPr>
                <w:rFonts w:hint="eastAsia" w:ascii="宋体" w:cs="宋体"/>
                <w:bCs/>
                <w:sz w:val="21"/>
                <w:szCs w:val="21"/>
                <w:lang w:val="en-US" w:eastAsia="zh-CN"/>
              </w:rPr>
              <w:t>12</w:t>
            </w:r>
            <w:r>
              <w:rPr>
                <w:rFonts w:hint="eastAsia" w:ascii="宋体" w:eastAsia="宋体" w:cs="宋体"/>
                <w:bCs/>
                <w:sz w:val="21"/>
                <w:szCs w:val="21"/>
              </w:rPr>
              <w:t>小时内赶到现场进行修理或更换。</w:t>
            </w:r>
          </w:p>
        </w:tc>
      </w:tr>
      <w:tr w14:paraId="05B2D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840" w:type="dxa"/>
            <w:vMerge w:val="restart"/>
            <w:vAlign w:val="center"/>
          </w:tcPr>
          <w:p w14:paraId="6A0300D1">
            <w:pPr>
              <w:spacing w:line="360" w:lineRule="auto"/>
              <w:jc w:val="center"/>
              <w:rPr>
                <w:rFonts w:hint="eastAsia" w:ascii="宋体" w:eastAsia="宋体" w:cs="宋体"/>
                <w:sz w:val="21"/>
                <w:szCs w:val="21"/>
              </w:rPr>
            </w:pPr>
            <w:r>
              <w:rPr>
                <w:rFonts w:hint="eastAsia" w:ascii="宋体" w:eastAsia="宋体" w:cs="宋体"/>
                <w:sz w:val="21"/>
                <w:szCs w:val="21"/>
              </w:rPr>
              <w:t>2</w:t>
            </w:r>
          </w:p>
        </w:tc>
        <w:tc>
          <w:tcPr>
            <w:tcW w:w="1498" w:type="dxa"/>
            <w:vMerge w:val="restart"/>
            <w:vAlign w:val="center"/>
          </w:tcPr>
          <w:p w14:paraId="3C9895B3">
            <w:pPr>
              <w:spacing w:line="360" w:lineRule="auto"/>
              <w:jc w:val="center"/>
              <w:rPr>
                <w:rFonts w:hint="eastAsia" w:ascii="宋体" w:eastAsia="宋体" w:cs="宋体"/>
                <w:sz w:val="21"/>
                <w:szCs w:val="21"/>
              </w:rPr>
            </w:pPr>
            <w:r>
              <w:rPr>
                <w:rFonts w:hint="eastAsia" w:ascii="宋体" w:eastAsia="宋体" w:cs="宋体"/>
                <w:sz w:val="21"/>
                <w:szCs w:val="21"/>
              </w:rPr>
              <w:t>免费保修期</w:t>
            </w:r>
          </w:p>
        </w:tc>
        <w:tc>
          <w:tcPr>
            <w:tcW w:w="6449" w:type="dxa"/>
          </w:tcPr>
          <w:p w14:paraId="29DBFE9D">
            <w:pPr>
              <w:spacing w:line="360" w:lineRule="auto"/>
              <w:rPr>
                <w:rFonts w:hint="eastAsia" w:ascii="宋体" w:eastAsia="宋体" w:cs="宋体"/>
                <w:b/>
                <w:sz w:val="21"/>
                <w:szCs w:val="21"/>
                <w:highlight w:val="yellow"/>
              </w:rPr>
            </w:pPr>
            <w:r>
              <w:rPr>
                <w:rFonts w:hint="eastAsia" w:ascii="宋体" w:eastAsia="宋体" w:cs="宋体"/>
                <w:b/>
                <w:sz w:val="21"/>
                <w:szCs w:val="21"/>
                <w:highlight w:val="yellow"/>
              </w:rPr>
              <w:t>★2.1货物免费保修期</w:t>
            </w:r>
            <w:r>
              <w:rPr>
                <w:rFonts w:hint="eastAsia" w:ascii="宋体" w:eastAsia="宋体" w:cs="宋体"/>
                <w:b/>
                <w:sz w:val="21"/>
                <w:szCs w:val="21"/>
                <w:highlight w:val="yellow"/>
                <w:u w:val="single"/>
              </w:rPr>
              <w:t xml:space="preserve">  1  </w:t>
            </w:r>
            <w:r>
              <w:rPr>
                <w:rFonts w:hint="eastAsia" w:ascii="宋体" w:eastAsia="宋体" w:cs="宋体"/>
                <w:b/>
                <w:sz w:val="21"/>
                <w:szCs w:val="21"/>
                <w:highlight w:val="yellow"/>
              </w:rPr>
              <w:t>年，时间自最终验收合格并交付使用之日起计算。</w:t>
            </w:r>
          </w:p>
        </w:tc>
      </w:tr>
      <w:tr w14:paraId="167F1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0" w:type="dxa"/>
            <w:vMerge w:val="continue"/>
            <w:vAlign w:val="center"/>
          </w:tcPr>
          <w:p w14:paraId="2674DC9A"/>
        </w:tc>
        <w:tc>
          <w:tcPr>
            <w:tcW w:w="1498" w:type="dxa"/>
            <w:vMerge w:val="continue"/>
            <w:vAlign w:val="center"/>
          </w:tcPr>
          <w:p w14:paraId="4AC7779B"/>
        </w:tc>
        <w:tc>
          <w:tcPr>
            <w:tcW w:w="6449" w:type="dxa"/>
            <w:vAlign w:val="center"/>
          </w:tcPr>
          <w:p w14:paraId="7831C6B7">
            <w:pPr>
              <w:spacing w:line="360" w:lineRule="auto"/>
              <w:rPr>
                <w:rFonts w:hint="eastAsia" w:ascii="宋体" w:eastAsia="宋体" w:cs="宋体"/>
                <w:b/>
                <w:sz w:val="21"/>
                <w:szCs w:val="21"/>
                <w:highlight w:val="yellow"/>
              </w:rPr>
            </w:pPr>
            <w:r>
              <w:rPr>
                <w:rFonts w:hint="eastAsia" w:ascii="宋体" w:eastAsia="宋体" w:cs="宋体"/>
                <w:b/>
                <w:sz w:val="21"/>
                <w:szCs w:val="21"/>
                <w:highlight w:val="yellow"/>
              </w:rPr>
              <w:t>★2.2免费保修期内，所有服务及配件全部免费。</w:t>
            </w:r>
          </w:p>
        </w:tc>
      </w:tr>
      <w:tr w14:paraId="2A750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40" w:type="dxa"/>
            <w:vMerge w:val="restart"/>
            <w:vAlign w:val="center"/>
          </w:tcPr>
          <w:p w14:paraId="3A7E123F">
            <w:pPr>
              <w:spacing w:line="360" w:lineRule="auto"/>
              <w:jc w:val="center"/>
              <w:rPr>
                <w:rFonts w:hint="eastAsia" w:ascii="宋体" w:eastAsia="宋体" w:cs="宋体"/>
                <w:b/>
                <w:sz w:val="21"/>
                <w:szCs w:val="21"/>
              </w:rPr>
            </w:pPr>
            <w:r>
              <w:rPr>
                <w:rFonts w:hint="eastAsia" w:ascii="宋体" w:eastAsia="宋体" w:cs="宋体"/>
                <w:sz w:val="21"/>
                <w:szCs w:val="21"/>
              </w:rPr>
              <w:t>3</w:t>
            </w:r>
          </w:p>
        </w:tc>
        <w:tc>
          <w:tcPr>
            <w:tcW w:w="1498" w:type="dxa"/>
            <w:vMerge w:val="restart"/>
            <w:vAlign w:val="center"/>
          </w:tcPr>
          <w:p w14:paraId="1986363B">
            <w:pPr>
              <w:spacing w:line="360" w:lineRule="auto"/>
              <w:jc w:val="center"/>
              <w:rPr>
                <w:rFonts w:hint="eastAsia" w:ascii="宋体" w:eastAsia="宋体" w:cs="宋体"/>
                <w:b/>
                <w:sz w:val="21"/>
                <w:szCs w:val="21"/>
              </w:rPr>
            </w:pPr>
            <w:r>
              <w:rPr>
                <w:rFonts w:hint="eastAsia" w:ascii="宋体" w:eastAsia="宋体" w:cs="宋体"/>
                <w:sz w:val="21"/>
                <w:szCs w:val="21"/>
              </w:rPr>
              <w:t>技术文件</w:t>
            </w:r>
          </w:p>
        </w:tc>
        <w:tc>
          <w:tcPr>
            <w:tcW w:w="6449" w:type="dxa"/>
            <w:vAlign w:val="center"/>
          </w:tcPr>
          <w:p w14:paraId="30F0FCB7">
            <w:pPr>
              <w:spacing w:line="360" w:lineRule="auto"/>
              <w:rPr>
                <w:rFonts w:hint="eastAsia" w:ascii="宋体" w:eastAsia="宋体" w:cs="宋体"/>
                <w:bCs/>
                <w:sz w:val="21"/>
                <w:szCs w:val="21"/>
              </w:rPr>
            </w:pPr>
            <w:r>
              <w:rPr>
                <w:rFonts w:hint="eastAsia" w:ascii="宋体" w:eastAsia="宋体" w:cs="宋体"/>
                <w:bCs/>
                <w:sz w:val="21"/>
                <w:szCs w:val="21"/>
              </w:rPr>
              <w:t>3.1交货时，供应商应同时交付船舶及设施的</w:t>
            </w:r>
            <w:r>
              <w:rPr>
                <w:rFonts w:hint="eastAsia" w:ascii="宋体" w:cs="宋体"/>
                <w:bCs/>
                <w:sz w:val="21"/>
                <w:szCs w:val="21"/>
                <w:lang w:val="en-US" w:eastAsia="zh-CN"/>
              </w:rPr>
              <w:t>全部完整资料，</w:t>
            </w:r>
            <w:r>
              <w:rPr>
                <w:rFonts w:hint="eastAsia" w:ascii="宋体" w:eastAsia="宋体" w:cs="宋体"/>
                <w:bCs/>
                <w:sz w:val="21"/>
                <w:szCs w:val="21"/>
              </w:rPr>
              <w:t>产品使用手册、质量检验证书（合格证）、随船备品备件、完工图纸（含电子档一份）</w:t>
            </w:r>
            <w:r>
              <w:rPr>
                <w:rFonts w:hint="eastAsia" w:ascii="宋体" w:cs="宋体"/>
                <w:bCs/>
                <w:sz w:val="21"/>
                <w:szCs w:val="21"/>
                <w:lang w:eastAsia="zh-CN"/>
              </w:rPr>
              <w:t>、</w:t>
            </w:r>
            <w:r>
              <w:rPr>
                <w:rFonts w:hint="eastAsia" w:ascii="宋体" w:cs="宋体"/>
                <w:bCs/>
                <w:sz w:val="21"/>
                <w:szCs w:val="21"/>
                <w:lang w:val="en-US" w:eastAsia="zh-CN"/>
              </w:rPr>
              <w:t>重要设备按照规定取得CCS认可证书或合格证明等</w:t>
            </w:r>
            <w:r>
              <w:rPr>
                <w:rFonts w:hint="eastAsia" w:ascii="宋体" w:eastAsia="宋体" w:cs="宋体"/>
                <w:bCs/>
                <w:sz w:val="21"/>
                <w:szCs w:val="21"/>
              </w:rPr>
              <w:t>。</w:t>
            </w:r>
          </w:p>
        </w:tc>
      </w:tr>
      <w:tr w14:paraId="3EF84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40" w:type="dxa"/>
            <w:vMerge w:val="continue"/>
            <w:vAlign w:val="center"/>
          </w:tcPr>
          <w:p w14:paraId="63318B63"/>
        </w:tc>
        <w:tc>
          <w:tcPr>
            <w:tcW w:w="1498" w:type="dxa"/>
            <w:vMerge w:val="continue"/>
            <w:vAlign w:val="center"/>
          </w:tcPr>
          <w:p w14:paraId="48B5F51F"/>
        </w:tc>
        <w:tc>
          <w:tcPr>
            <w:tcW w:w="6449" w:type="dxa"/>
            <w:vAlign w:val="center"/>
          </w:tcPr>
          <w:p w14:paraId="6592BA49">
            <w:pPr>
              <w:spacing w:line="360" w:lineRule="auto"/>
              <w:rPr>
                <w:rFonts w:hint="eastAsia" w:ascii="宋体" w:eastAsia="宋体" w:cs="宋体"/>
                <w:bCs/>
                <w:sz w:val="21"/>
                <w:szCs w:val="21"/>
              </w:rPr>
            </w:pPr>
            <w:r>
              <w:rPr>
                <w:rFonts w:hint="eastAsia" w:ascii="宋体" w:eastAsia="宋体" w:cs="宋体"/>
                <w:bCs/>
                <w:sz w:val="21"/>
                <w:szCs w:val="21"/>
              </w:rPr>
              <w:t>3.2公务艇</w:t>
            </w:r>
            <w:r>
              <w:rPr>
                <w:rFonts w:hint="eastAsia" w:ascii="宋体" w:cs="宋体"/>
                <w:bCs/>
                <w:sz w:val="21"/>
                <w:szCs w:val="21"/>
                <w:lang w:val="en-US" w:eastAsia="zh-CN"/>
              </w:rPr>
              <w:t>必须取</w:t>
            </w:r>
            <w:r>
              <w:rPr>
                <w:rFonts w:hint="eastAsia" w:ascii="宋体" w:cs="宋体"/>
                <w:bCs/>
                <w:szCs w:val="21"/>
              </w:rPr>
              <w:t>得公务船《沿海小船检验证书》</w:t>
            </w:r>
            <w:r>
              <w:rPr>
                <w:rFonts w:hint="eastAsia" w:ascii="宋体" w:cs="宋体"/>
                <w:bCs/>
                <w:szCs w:val="21"/>
                <w:lang w:eastAsia="zh-CN"/>
              </w:rPr>
              <w:t>、</w:t>
            </w:r>
            <w:r>
              <w:rPr>
                <w:rFonts w:hint="eastAsia" w:ascii="宋体" w:cs="宋体"/>
                <w:bCs/>
                <w:szCs w:val="21"/>
                <w:lang w:val="en-US" w:eastAsia="zh-CN"/>
              </w:rPr>
              <w:t>中国海事局签发的《中华人民共和国船舶国际证书》，及其他全套船舶检验合格证书，并且移交给采购人</w:t>
            </w:r>
            <w:r>
              <w:rPr>
                <w:rFonts w:hint="eastAsia" w:ascii="宋体" w:cs="宋体"/>
                <w:bCs/>
                <w:szCs w:val="21"/>
              </w:rPr>
              <w:t>。</w:t>
            </w:r>
          </w:p>
        </w:tc>
      </w:tr>
      <w:tr w14:paraId="4BF38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87" w:type="dxa"/>
            <w:gridSpan w:val="3"/>
            <w:vAlign w:val="center"/>
          </w:tcPr>
          <w:p w14:paraId="46BE7D97">
            <w:pPr>
              <w:spacing w:line="360" w:lineRule="auto"/>
              <w:rPr>
                <w:rFonts w:hint="eastAsia" w:ascii="宋体" w:eastAsia="宋体" w:cs="宋体"/>
                <w:b/>
                <w:sz w:val="21"/>
                <w:szCs w:val="21"/>
              </w:rPr>
            </w:pPr>
            <w:r>
              <w:rPr>
                <w:rFonts w:hint="eastAsia" w:ascii="宋体" w:eastAsia="宋体" w:cs="宋体"/>
                <w:b/>
                <w:sz w:val="21"/>
                <w:szCs w:val="21"/>
              </w:rPr>
              <w:t>（二）其他商务要求</w:t>
            </w:r>
          </w:p>
        </w:tc>
      </w:tr>
      <w:tr w14:paraId="19D76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Merge w:val="restart"/>
            <w:vAlign w:val="center"/>
          </w:tcPr>
          <w:p w14:paraId="6B3B16B6">
            <w:pPr>
              <w:spacing w:line="360" w:lineRule="auto"/>
              <w:jc w:val="center"/>
              <w:rPr>
                <w:rFonts w:hint="eastAsia" w:ascii="宋体" w:eastAsia="宋体" w:cs="宋体"/>
                <w:b/>
                <w:sz w:val="21"/>
                <w:szCs w:val="21"/>
              </w:rPr>
            </w:pPr>
            <w:bookmarkStart w:id="27" w:name="_Hlk72260973"/>
            <w:r>
              <w:rPr>
                <w:rFonts w:hint="eastAsia" w:ascii="宋体" w:eastAsia="宋体" w:cs="宋体"/>
                <w:b/>
                <w:sz w:val="21"/>
                <w:szCs w:val="21"/>
              </w:rPr>
              <w:t>1</w:t>
            </w:r>
          </w:p>
        </w:tc>
        <w:tc>
          <w:tcPr>
            <w:tcW w:w="1498" w:type="dxa"/>
            <w:vMerge w:val="restart"/>
            <w:vAlign w:val="center"/>
          </w:tcPr>
          <w:p w14:paraId="35F8D7BB">
            <w:pPr>
              <w:spacing w:line="360" w:lineRule="auto"/>
              <w:jc w:val="center"/>
              <w:rPr>
                <w:rFonts w:hint="eastAsia" w:ascii="宋体" w:eastAsia="宋体" w:cs="宋体"/>
                <w:b/>
                <w:sz w:val="21"/>
                <w:szCs w:val="21"/>
              </w:rPr>
            </w:pPr>
            <w:r>
              <w:rPr>
                <w:rFonts w:hint="eastAsia" w:ascii="宋体" w:eastAsia="宋体" w:cs="宋体"/>
                <w:b/>
                <w:sz w:val="21"/>
                <w:szCs w:val="21"/>
              </w:rPr>
              <w:t>交货条件其他</w:t>
            </w:r>
          </w:p>
        </w:tc>
        <w:tc>
          <w:tcPr>
            <w:tcW w:w="6449" w:type="dxa"/>
            <w:vAlign w:val="center"/>
          </w:tcPr>
          <w:p w14:paraId="4A36CBAB">
            <w:pPr>
              <w:spacing w:line="360" w:lineRule="auto"/>
              <w:rPr>
                <w:rFonts w:hint="eastAsia" w:ascii="宋体" w:eastAsia="宋体" w:cs="宋体"/>
                <w:b/>
                <w:bCs/>
                <w:sz w:val="21"/>
                <w:szCs w:val="21"/>
                <w:lang w:eastAsia="zh-CN"/>
              </w:rPr>
            </w:pPr>
            <w:r>
              <w:rPr>
                <w:rFonts w:hint="eastAsia" w:ascii="宋体" w:eastAsia="宋体" w:cs="宋体"/>
                <w:b/>
                <w:bCs/>
                <w:sz w:val="21"/>
                <w:szCs w:val="21"/>
                <w:highlight w:val="none"/>
              </w:rPr>
              <w:t>★</w:t>
            </w:r>
            <w:r>
              <w:rPr>
                <w:rFonts w:hint="eastAsia" w:ascii="宋体" w:cs="宋体"/>
                <w:b/>
                <w:bCs/>
                <w:sz w:val="21"/>
                <w:szCs w:val="21"/>
                <w:highlight w:val="none"/>
                <w:lang w:val="en-US" w:eastAsia="zh-CN"/>
              </w:rPr>
              <w:t>1.1</w:t>
            </w:r>
            <w:r>
              <w:rPr>
                <w:rFonts w:hint="eastAsia" w:ascii="宋体" w:eastAsia="宋体" w:cs="宋体"/>
                <w:b/>
                <w:bCs/>
                <w:sz w:val="21"/>
                <w:szCs w:val="21"/>
                <w:highlight w:val="none"/>
              </w:rPr>
              <w:t>履约时间和地点：投标供应商在签订合同之日起10个月内交货，交货地点为深圳市宝安区东宝河口海防码头</w:t>
            </w:r>
            <w:r>
              <w:rPr>
                <w:rFonts w:hint="eastAsia" w:ascii="宋体" w:cs="宋体"/>
                <w:b/>
                <w:bCs/>
                <w:sz w:val="21"/>
                <w:szCs w:val="21"/>
                <w:highlight w:val="none"/>
                <w:lang w:eastAsia="zh-CN"/>
              </w:rPr>
              <w:t>。</w:t>
            </w:r>
          </w:p>
        </w:tc>
      </w:tr>
      <w:tr w14:paraId="51A42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Merge w:val="continue"/>
            <w:vAlign w:val="center"/>
          </w:tcPr>
          <w:p w14:paraId="68568610"/>
        </w:tc>
        <w:tc>
          <w:tcPr>
            <w:tcW w:w="1498" w:type="dxa"/>
            <w:vMerge w:val="continue"/>
            <w:vAlign w:val="center"/>
          </w:tcPr>
          <w:p w14:paraId="18A1C486"/>
        </w:tc>
        <w:tc>
          <w:tcPr>
            <w:tcW w:w="6449" w:type="dxa"/>
            <w:vAlign w:val="center"/>
          </w:tcPr>
          <w:p w14:paraId="158B597C">
            <w:pPr>
              <w:widowControl/>
              <w:tabs>
                <w:tab w:val="left" w:pos="1260"/>
              </w:tabs>
              <w:spacing w:line="360" w:lineRule="auto"/>
              <w:rPr>
                <w:rFonts w:hint="eastAsia" w:asciiTheme="minorEastAsia" w:hAnsiTheme="minorEastAsia" w:eastAsiaTheme="minorEastAsia"/>
                <w:b w:val="0"/>
                <w:bCs/>
              </w:rPr>
            </w:pPr>
            <w:r>
              <w:rPr>
                <w:rFonts w:hint="eastAsia" w:asciiTheme="minorEastAsia" w:hAnsiTheme="minorEastAsia" w:eastAsiaTheme="minorEastAsia"/>
                <w:b w:val="0"/>
                <w:bCs/>
                <w:lang w:val="en-US" w:eastAsia="zh-CN"/>
              </w:rPr>
              <w:t>1.2</w:t>
            </w:r>
            <w:r>
              <w:rPr>
                <w:rFonts w:hint="eastAsia" w:asciiTheme="minorEastAsia" w:hAnsiTheme="minorEastAsia" w:eastAsiaTheme="minorEastAsia"/>
                <w:b w:val="0"/>
                <w:bCs/>
              </w:rPr>
              <w:t>付款方式</w:t>
            </w:r>
          </w:p>
          <w:p w14:paraId="4923DBC9">
            <w:pPr>
              <w:widowControl/>
              <w:tabs>
                <w:tab w:val="left" w:pos="1260"/>
              </w:tabs>
              <w:spacing w:line="360" w:lineRule="auto"/>
              <w:rPr>
                <w:rFonts w:hint="eastAsia" w:ascii="宋体" w:eastAsia="宋体" w:cs="宋体"/>
                <w:kern w:val="0"/>
                <w:sz w:val="21"/>
                <w:szCs w:val="21"/>
              </w:rPr>
            </w:pPr>
            <w:r>
              <w:rPr>
                <w:rFonts w:hint="eastAsia" w:ascii="宋体" w:eastAsia="宋体" w:cs="宋体"/>
                <w:kern w:val="0"/>
                <w:sz w:val="21"/>
                <w:szCs w:val="21"/>
              </w:rPr>
              <w:t>第一期（预付款）</w:t>
            </w:r>
          </w:p>
          <w:p w14:paraId="638CD2C0">
            <w:pPr>
              <w:widowControl/>
              <w:tabs>
                <w:tab w:val="left" w:pos="1260"/>
              </w:tabs>
              <w:spacing w:line="360" w:lineRule="auto"/>
              <w:rPr>
                <w:rFonts w:hint="eastAsia" w:ascii="宋体" w:eastAsia="宋体" w:cs="宋体"/>
                <w:kern w:val="0"/>
                <w:sz w:val="21"/>
                <w:szCs w:val="21"/>
              </w:rPr>
            </w:pPr>
            <w:r>
              <w:rPr>
                <w:rFonts w:hint="eastAsia" w:ascii="宋体" w:eastAsia="宋体" w:cs="宋体"/>
                <w:kern w:val="0"/>
                <w:sz w:val="21"/>
                <w:szCs w:val="21"/>
              </w:rPr>
              <w:t>合同签订后</w:t>
            </w:r>
            <w:r>
              <w:rPr>
                <w:rFonts w:hint="eastAsia" w:ascii="宋体" w:cs="宋体"/>
                <w:kern w:val="0"/>
                <w:sz w:val="21"/>
                <w:szCs w:val="21"/>
                <w:lang w:val="en-US" w:eastAsia="zh-CN"/>
              </w:rPr>
              <w:t>且收到发票1</w:t>
            </w:r>
            <w:r>
              <w:rPr>
                <w:rFonts w:hint="eastAsia" w:ascii="宋体" w:eastAsia="宋体" w:cs="宋体"/>
                <w:kern w:val="0"/>
                <w:sz w:val="21"/>
                <w:szCs w:val="21"/>
              </w:rPr>
              <w:t>0个工作日内向中标人支付</w:t>
            </w:r>
            <w:r>
              <w:rPr>
                <w:rFonts w:hint="eastAsia" w:ascii="宋体" w:cs="宋体"/>
                <w:kern w:val="0"/>
                <w:sz w:val="21"/>
                <w:szCs w:val="21"/>
                <w:lang w:val="en-US" w:eastAsia="zh-CN"/>
              </w:rPr>
              <w:t>中标金额30%首付款</w:t>
            </w:r>
            <w:r>
              <w:rPr>
                <w:rFonts w:hint="eastAsia" w:ascii="宋体" w:eastAsia="宋体" w:cs="宋体"/>
                <w:kern w:val="0"/>
                <w:sz w:val="21"/>
                <w:szCs w:val="21"/>
              </w:rPr>
              <w:t>。</w:t>
            </w:r>
          </w:p>
          <w:p w14:paraId="13DD3878">
            <w:pPr>
              <w:widowControl/>
              <w:tabs>
                <w:tab w:val="left" w:pos="1260"/>
              </w:tabs>
              <w:spacing w:line="360" w:lineRule="auto"/>
              <w:rPr>
                <w:rFonts w:hint="eastAsia" w:ascii="宋体" w:eastAsia="宋体" w:cs="宋体"/>
                <w:kern w:val="0"/>
                <w:sz w:val="21"/>
                <w:szCs w:val="21"/>
              </w:rPr>
            </w:pPr>
            <w:r>
              <w:rPr>
                <w:rFonts w:hint="eastAsia" w:ascii="宋体" w:eastAsia="宋体" w:cs="宋体"/>
                <w:kern w:val="0"/>
                <w:sz w:val="21"/>
                <w:szCs w:val="21"/>
              </w:rPr>
              <w:t>第二期（进度款）</w:t>
            </w:r>
          </w:p>
          <w:p w14:paraId="070DA04A">
            <w:pPr>
              <w:widowControl/>
              <w:tabs>
                <w:tab w:val="left" w:pos="1260"/>
              </w:tabs>
              <w:spacing w:line="360" w:lineRule="auto"/>
              <w:rPr>
                <w:rFonts w:hint="eastAsia" w:ascii="宋体" w:eastAsia="宋体" w:cs="宋体"/>
                <w:kern w:val="0"/>
                <w:sz w:val="21"/>
                <w:szCs w:val="21"/>
              </w:rPr>
            </w:pPr>
            <w:r>
              <w:rPr>
                <w:rFonts w:hint="eastAsia" w:ascii="宋体" w:eastAsia="宋体" w:cs="宋体"/>
                <w:kern w:val="0"/>
                <w:sz w:val="21"/>
                <w:szCs w:val="21"/>
              </w:rPr>
              <w:t>采购人于公务艇上船台合拢后</w:t>
            </w:r>
            <w:r>
              <w:rPr>
                <w:rFonts w:hint="eastAsia" w:ascii="宋体" w:eastAsia="宋体" w:cs="宋体"/>
                <w:kern w:val="0"/>
                <w:sz w:val="21"/>
                <w:szCs w:val="21"/>
                <w:lang w:eastAsia="zh-CN"/>
              </w:rPr>
              <w:t>，</w:t>
            </w:r>
            <w:r>
              <w:rPr>
                <w:rFonts w:hint="eastAsia" w:ascii="宋体" w:eastAsia="宋体" w:cs="宋体"/>
                <w:kern w:val="0"/>
                <w:sz w:val="21"/>
                <w:szCs w:val="21"/>
                <w:lang w:val="en-US" w:eastAsia="zh-CN"/>
              </w:rPr>
              <w:t>收到发票后1</w:t>
            </w:r>
            <w:r>
              <w:rPr>
                <w:rFonts w:hint="eastAsia" w:ascii="宋体" w:eastAsia="宋体" w:cs="宋体"/>
                <w:kern w:val="0"/>
                <w:sz w:val="21"/>
                <w:szCs w:val="21"/>
              </w:rPr>
              <w:t>0个工作日内</w:t>
            </w:r>
            <w:r>
              <w:rPr>
                <w:rFonts w:hint="eastAsia" w:ascii="宋体" w:eastAsia="宋体" w:cs="宋体"/>
                <w:kern w:val="0"/>
                <w:sz w:val="21"/>
                <w:szCs w:val="21"/>
                <w:lang w:val="en-US" w:eastAsia="zh-CN"/>
              </w:rPr>
              <w:t>向中标人</w:t>
            </w:r>
            <w:r>
              <w:rPr>
                <w:rFonts w:hint="eastAsia" w:ascii="宋体" w:eastAsia="宋体" w:cs="宋体"/>
                <w:kern w:val="0"/>
                <w:sz w:val="21"/>
                <w:szCs w:val="21"/>
              </w:rPr>
              <w:t>支付中标金额</w:t>
            </w:r>
            <w:r>
              <w:rPr>
                <w:rFonts w:hint="eastAsia" w:ascii="宋体" w:eastAsia="宋体" w:cs="宋体"/>
                <w:kern w:val="0"/>
                <w:sz w:val="21"/>
                <w:szCs w:val="21"/>
                <w:lang w:val="en-US" w:eastAsia="zh-CN"/>
              </w:rPr>
              <w:t>5</w:t>
            </w:r>
            <w:r>
              <w:rPr>
                <w:rFonts w:hint="eastAsia" w:ascii="宋体" w:eastAsia="宋体" w:cs="宋体"/>
                <w:kern w:val="0"/>
                <w:sz w:val="21"/>
                <w:szCs w:val="21"/>
              </w:rPr>
              <w:t>0%的进度款。</w:t>
            </w:r>
          </w:p>
          <w:p w14:paraId="71209BAC">
            <w:pPr>
              <w:widowControl/>
              <w:tabs>
                <w:tab w:val="left" w:pos="1260"/>
              </w:tabs>
              <w:spacing w:line="360" w:lineRule="auto"/>
              <w:rPr>
                <w:rFonts w:hint="eastAsia" w:ascii="宋体" w:eastAsia="宋体" w:cs="宋体"/>
                <w:kern w:val="0"/>
                <w:sz w:val="21"/>
                <w:szCs w:val="21"/>
              </w:rPr>
            </w:pPr>
            <w:r>
              <w:rPr>
                <w:rFonts w:hint="eastAsia" w:ascii="宋体" w:eastAsia="宋体" w:cs="宋体"/>
                <w:kern w:val="0"/>
                <w:sz w:val="21"/>
                <w:szCs w:val="21"/>
              </w:rPr>
              <w:t>第三期（进度款）</w:t>
            </w:r>
          </w:p>
          <w:p w14:paraId="124FC284">
            <w:pPr>
              <w:widowControl/>
              <w:tabs>
                <w:tab w:val="left" w:pos="1260"/>
              </w:tabs>
              <w:spacing w:line="360" w:lineRule="auto"/>
              <w:rPr>
                <w:rFonts w:hint="eastAsia" w:ascii="宋体" w:eastAsia="宋体" w:cs="宋体"/>
                <w:kern w:val="0"/>
                <w:sz w:val="21"/>
                <w:szCs w:val="21"/>
              </w:rPr>
            </w:pPr>
            <w:r>
              <w:rPr>
                <w:rFonts w:hint="eastAsia" w:ascii="宋体" w:eastAsia="宋体" w:cs="宋体"/>
                <w:kern w:val="0"/>
                <w:sz w:val="21"/>
                <w:szCs w:val="21"/>
                <w:lang w:val="en-US" w:eastAsia="zh-CN"/>
              </w:rPr>
              <w:t>采购人于船检完工和交付验收合格后，收到发票后10个工作日内向中标人支付中标金额的20%的进度款</w:t>
            </w:r>
            <w:r>
              <w:rPr>
                <w:rFonts w:hint="eastAsia" w:ascii="宋体" w:cs="宋体"/>
                <w:kern w:val="0"/>
                <w:sz w:val="21"/>
                <w:szCs w:val="21"/>
                <w:lang w:val="en-US" w:eastAsia="zh-CN"/>
              </w:rPr>
              <w:t>。</w:t>
            </w:r>
          </w:p>
        </w:tc>
      </w:tr>
      <w:tr w14:paraId="63B02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Merge w:val="continue"/>
            <w:vAlign w:val="center"/>
          </w:tcPr>
          <w:p w14:paraId="1B09270E"/>
        </w:tc>
        <w:tc>
          <w:tcPr>
            <w:tcW w:w="1498" w:type="dxa"/>
            <w:vMerge w:val="continue"/>
            <w:vAlign w:val="center"/>
          </w:tcPr>
          <w:p w14:paraId="42FDC159"/>
        </w:tc>
        <w:tc>
          <w:tcPr>
            <w:tcW w:w="6449" w:type="dxa"/>
            <w:vAlign w:val="center"/>
          </w:tcPr>
          <w:p w14:paraId="4FDF5301">
            <w:pPr>
              <w:spacing w:line="360" w:lineRule="auto"/>
              <w:rPr>
                <w:rFonts w:hint="eastAsia" w:ascii="宋体" w:eastAsia="宋体" w:cs="宋体"/>
                <w:sz w:val="21"/>
                <w:szCs w:val="21"/>
              </w:rPr>
            </w:pPr>
            <w:r>
              <w:rPr>
                <w:rFonts w:hint="eastAsia" w:ascii="宋体" w:eastAsia="宋体" w:cs="宋体"/>
                <w:sz w:val="21"/>
                <w:szCs w:val="21"/>
              </w:rPr>
              <w:t>1.</w:t>
            </w:r>
            <w:r>
              <w:rPr>
                <w:rFonts w:hint="eastAsia" w:ascii="宋体" w:cs="宋体"/>
                <w:sz w:val="21"/>
                <w:szCs w:val="21"/>
                <w:lang w:val="en-US" w:eastAsia="zh-CN"/>
              </w:rPr>
              <w:t>3</w:t>
            </w:r>
            <w:r>
              <w:rPr>
                <w:rFonts w:hint="eastAsia" w:ascii="宋体" w:eastAsia="宋体" w:cs="宋体"/>
                <w:sz w:val="21"/>
                <w:szCs w:val="21"/>
              </w:rPr>
              <w:t>验收条件：</w:t>
            </w:r>
          </w:p>
          <w:p w14:paraId="111E1E64">
            <w:pPr>
              <w:spacing w:line="360" w:lineRule="auto"/>
              <w:rPr>
                <w:rFonts w:hint="eastAsia" w:ascii="宋体" w:eastAsia="宋体" w:cs="宋体"/>
                <w:sz w:val="21"/>
                <w:szCs w:val="21"/>
              </w:rPr>
            </w:pPr>
            <w:r>
              <w:rPr>
                <w:rFonts w:hint="eastAsia" w:ascii="宋体" w:eastAsia="宋体" w:cs="宋体"/>
                <w:sz w:val="21"/>
                <w:szCs w:val="21"/>
              </w:rPr>
              <w:t xml:space="preserve">（1）本项目船艇出厂需经国家法定船检部门检验。交艇时供应商必须出具国家法定船舶检验证书，其它证书一概不认可。没能通过国家法定船检部门的检验，未取得国家法定船舶检验证书将视作不能交货处理。 </w:t>
            </w:r>
          </w:p>
          <w:p w14:paraId="3EEA3ABC">
            <w:pPr>
              <w:spacing w:line="360" w:lineRule="auto"/>
              <w:rPr>
                <w:rFonts w:hint="eastAsia" w:ascii="宋体" w:eastAsia="宋体" w:cs="宋体"/>
                <w:sz w:val="21"/>
                <w:szCs w:val="21"/>
              </w:rPr>
            </w:pPr>
            <w:r>
              <w:rPr>
                <w:rFonts w:hint="eastAsia" w:ascii="宋体" w:eastAsia="宋体" w:cs="宋体"/>
                <w:sz w:val="21"/>
                <w:szCs w:val="21"/>
              </w:rPr>
              <w:t xml:space="preserve">（2）法定船检证书指：可入册入户、可转港、转藉、可用于购买保险、每船每个舷号一本证书。非成批认可的形式认可船检证书。 </w:t>
            </w:r>
          </w:p>
          <w:p w14:paraId="23B4BF65">
            <w:pPr>
              <w:spacing w:line="360" w:lineRule="auto"/>
              <w:rPr>
                <w:rFonts w:hint="eastAsia" w:ascii="宋体" w:eastAsia="宋体" w:cs="宋体"/>
                <w:sz w:val="21"/>
                <w:szCs w:val="21"/>
              </w:rPr>
            </w:pPr>
            <w:r>
              <w:rPr>
                <w:rFonts w:hint="eastAsia" w:ascii="宋体" w:eastAsia="宋体" w:cs="宋体"/>
                <w:sz w:val="21"/>
                <w:szCs w:val="21"/>
              </w:rPr>
              <w:t>（3）每艘快艇船检证书与本合同要求一致：全艇建造满足</w:t>
            </w:r>
            <w:r>
              <w:rPr>
                <w:rFonts w:hint="eastAsia" w:ascii="宋体" w:eastAsia="宋体" w:cs="宋体"/>
                <w:sz w:val="21"/>
                <w:szCs w:val="21"/>
                <w:lang w:val="en-US" w:eastAsia="zh-CN"/>
              </w:rPr>
              <w:t>中国</w:t>
            </w:r>
            <w:r>
              <w:rPr>
                <w:rFonts w:hint="eastAsia" w:ascii="宋体" w:eastAsia="宋体" w:cs="宋体"/>
                <w:sz w:val="21"/>
                <w:szCs w:val="21"/>
              </w:rPr>
              <w:t>现行有关规范。</w:t>
            </w:r>
          </w:p>
          <w:p w14:paraId="5994E3DF">
            <w:pPr>
              <w:spacing w:line="360" w:lineRule="auto"/>
              <w:rPr>
                <w:rFonts w:hint="eastAsia" w:ascii="宋体" w:eastAsia="宋体" w:cs="宋体"/>
                <w:sz w:val="21"/>
                <w:szCs w:val="21"/>
              </w:rPr>
            </w:pPr>
            <w:r>
              <w:rPr>
                <w:rFonts w:hint="eastAsia" w:ascii="宋体" w:eastAsia="宋体" w:cs="宋体"/>
                <w:sz w:val="21"/>
                <w:szCs w:val="21"/>
              </w:rPr>
              <w:t>（4）验收内容程序：①供应商对本验收项目进行建造过程说明。 ②采购人使用单位介绍本项目船艇的实际试用情况。 ③验收小组对本项目船艇的外观、性能、实操等方面进行现场抽查检验。 ④验收讨论：审核产品出厂合格证书、记录报告、船检证书，对验收项目提出评审意见。 ⑤验收小组达成共识，草拟验收意见。 ⑥验收小组审定验收意见，签署验收报告。 ⑦双方签署《船艇交接书》。</w:t>
            </w:r>
          </w:p>
          <w:p w14:paraId="085B91DB">
            <w:pPr>
              <w:spacing w:line="360" w:lineRule="auto"/>
              <w:rPr>
                <w:rFonts w:hint="eastAsia" w:ascii="宋体" w:eastAsia="宋体" w:cs="宋体"/>
                <w:sz w:val="21"/>
                <w:szCs w:val="21"/>
              </w:rPr>
            </w:pPr>
            <w:r>
              <w:rPr>
                <w:rFonts w:hint="eastAsia" w:ascii="宋体" w:eastAsia="宋体" w:cs="宋体"/>
                <w:sz w:val="21"/>
                <w:szCs w:val="21"/>
              </w:rPr>
              <w:t>（5）完工航行试验： ①建造完工的公务艇，供应商在完成系泊试验、主机负载验收试验、倾斜试验后组织航行试验。 ②航行试验由供应商组织，采购人派员参加。 ③航行试验通过后，提交《航行试验报告书》。</w:t>
            </w:r>
          </w:p>
          <w:p w14:paraId="7F112534">
            <w:pPr>
              <w:spacing w:line="360" w:lineRule="auto"/>
              <w:rPr>
                <w:rFonts w:hint="eastAsia" w:ascii="宋体" w:eastAsia="宋体" w:cs="宋体"/>
                <w:sz w:val="21"/>
                <w:szCs w:val="21"/>
              </w:rPr>
            </w:pPr>
            <w:r>
              <w:rPr>
                <w:rFonts w:hint="eastAsia" w:ascii="宋体" w:eastAsia="宋体" w:cs="宋体"/>
                <w:sz w:val="21"/>
                <w:szCs w:val="21"/>
              </w:rPr>
              <w:t>（6）每艘公务艇航行试验要求：①试航和试验参数达到本合同要求。 ②全部设备、零部件型号规格与设备清单相符，数量一致。</w:t>
            </w:r>
          </w:p>
        </w:tc>
      </w:tr>
      <w:tr w14:paraId="25FBB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Align w:val="center"/>
          </w:tcPr>
          <w:p w14:paraId="7FCE5AA7">
            <w:pPr>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1498" w:type="dxa"/>
            <w:vAlign w:val="center"/>
          </w:tcPr>
          <w:p w14:paraId="4BB2006F">
            <w:pPr>
              <w:jc w:val="center"/>
              <w:rPr>
                <w:rFonts w:hint="eastAsia" w:ascii="宋体" w:hAnsi="宋体" w:eastAsia="宋体" w:cs="宋体"/>
                <w:lang w:val="en-US" w:eastAsia="zh-CN"/>
              </w:rPr>
            </w:pPr>
            <w:r>
              <w:rPr>
                <w:rFonts w:hint="eastAsia" w:ascii="宋体" w:hAnsi="宋体" w:eastAsia="宋体" w:cs="宋体"/>
                <w:lang w:val="en-US" w:eastAsia="zh-CN"/>
              </w:rPr>
              <w:t>人员要求</w:t>
            </w:r>
          </w:p>
        </w:tc>
        <w:tc>
          <w:tcPr>
            <w:tcW w:w="6449" w:type="dxa"/>
            <w:vAlign w:val="center"/>
          </w:tcPr>
          <w:p w14:paraId="71612804">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投标人需为本项目安排项目服务人员，</w:t>
            </w:r>
            <w:r>
              <w:rPr>
                <w:rFonts w:hint="eastAsia" w:ascii="宋体" w:hAnsi="宋体" w:eastAsia="宋体" w:cs="宋体"/>
                <w:lang w:val="en-US" w:eastAsia="zh-CN"/>
              </w:rPr>
              <w:t>包含5名</w:t>
            </w:r>
            <w:r>
              <w:rPr>
                <w:rFonts w:hint="eastAsia" w:ascii="宋体" w:hAnsi="宋体" w:eastAsia="宋体" w:cs="宋体"/>
                <w:color w:val="000000"/>
                <w:szCs w:val="21"/>
                <w:highlight w:val="none"/>
                <w:lang w:val="en-US" w:eastAsia="zh-CN"/>
              </w:rPr>
              <w:t>主要技术人员和5名其他团队成员，主要技术人员要求</w:t>
            </w:r>
            <w:r>
              <w:rPr>
                <w:rFonts w:hint="eastAsia" w:ascii="宋体" w:hAnsi="宋体" w:eastAsia="宋体" w:cs="宋体"/>
                <w:color w:val="000000"/>
                <w:szCs w:val="21"/>
                <w:highlight w:val="none"/>
              </w:rPr>
              <w:t>具有船舶类</w:t>
            </w:r>
            <w:r>
              <w:rPr>
                <w:rFonts w:hint="eastAsia" w:ascii="宋体" w:hAnsi="宋体" w:eastAsia="宋体" w:cs="宋体"/>
                <w:color w:val="000000"/>
                <w:szCs w:val="21"/>
                <w:highlight w:val="none"/>
                <w:lang w:val="en-US" w:eastAsia="zh-CN"/>
              </w:rPr>
              <w:t>相关</w:t>
            </w:r>
            <w:r>
              <w:rPr>
                <w:rFonts w:hint="eastAsia" w:ascii="宋体" w:hAnsi="宋体" w:eastAsia="宋体" w:cs="宋体"/>
                <w:color w:val="000000"/>
                <w:szCs w:val="21"/>
                <w:highlight w:val="none"/>
              </w:rPr>
              <w:t>专业高级及以上职称证书</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其他团队成员要求具有</w:t>
            </w:r>
            <w:r>
              <w:rPr>
                <w:rFonts w:hint="eastAsia" w:ascii="宋体" w:hAnsi="宋体" w:eastAsia="宋体" w:cs="宋体"/>
                <w:color w:val="000000"/>
                <w:szCs w:val="21"/>
                <w:highlight w:val="none"/>
              </w:rPr>
              <w:t>船舶类</w:t>
            </w:r>
            <w:r>
              <w:rPr>
                <w:rFonts w:hint="eastAsia" w:ascii="宋体" w:hAnsi="宋体" w:eastAsia="宋体" w:cs="宋体"/>
                <w:color w:val="000000"/>
                <w:szCs w:val="21"/>
                <w:highlight w:val="none"/>
                <w:lang w:val="en-US" w:eastAsia="zh-CN"/>
              </w:rPr>
              <w:t>相关</w:t>
            </w:r>
            <w:r>
              <w:rPr>
                <w:rFonts w:hint="eastAsia" w:ascii="宋体" w:hAnsi="宋体" w:eastAsia="宋体" w:cs="宋体"/>
                <w:color w:val="000000"/>
                <w:szCs w:val="21"/>
                <w:highlight w:val="none"/>
              </w:rPr>
              <w:t>专业中级及以上职称证书</w:t>
            </w:r>
            <w:r>
              <w:rPr>
                <w:rFonts w:hint="eastAsia" w:ascii="宋体" w:hAnsi="宋体" w:eastAsia="宋体" w:cs="宋体"/>
                <w:color w:val="000000"/>
                <w:szCs w:val="21"/>
                <w:highlight w:val="none"/>
                <w:lang w:eastAsia="zh-CN"/>
              </w:rPr>
              <w:t>。</w:t>
            </w:r>
          </w:p>
        </w:tc>
      </w:tr>
      <w:tr w14:paraId="291F5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Merge w:val="restart"/>
            <w:vAlign w:val="center"/>
          </w:tcPr>
          <w:p w14:paraId="501F5C2D">
            <w:pPr>
              <w:jc w:val="center"/>
              <w:rPr>
                <w:rFonts w:hint="eastAsia" w:ascii="宋体" w:hAnsi="宋体" w:eastAsia="宋体" w:cs="宋体"/>
                <w:lang w:val="en-US" w:eastAsia="zh-CN"/>
              </w:rPr>
            </w:pPr>
            <w:r>
              <w:rPr>
                <w:rFonts w:hint="eastAsia" w:ascii="宋体" w:hAnsi="宋体" w:eastAsia="宋体" w:cs="宋体"/>
                <w:lang w:val="en-US" w:eastAsia="zh-CN"/>
              </w:rPr>
              <w:t>3</w:t>
            </w:r>
          </w:p>
        </w:tc>
        <w:tc>
          <w:tcPr>
            <w:tcW w:w="1498" w:type="dxa"/>
            <w:vMerge w:val="restart"/>
            <w:vAlign w:val="center"/>
          </w:tcPr>
          <w:p w14:paraId="28303144">
            <w:pPr>
              <w:jc w:val="center"/>
              <w:rPr>
                <w:rFonts w:hint="eastAsia" w:ascii="宋体" w:hAnsi="宋体" w:eastAsia="宋体" w:cs="宋体"/>
                <w:lang w:val="en-US" w:eastAsia="zh-CN"/>
              </w:rPr>
            </w:pPr>
            <w:r>
              <w:rPr>
                <w:rFonts w:hint="eastAsia" w:ascii="宋体" w:hAnsi="宋体" w:eastAsia="宋体" w:cs="宋体"/>
                <w:lang w:val="en-US" w:eastAsia="zh-CN"/>
              </w:rPr>
              <w:t>设备要求</w:t>
            </w:r>
          </w:p>
        </w:tc>
        <w:tc>
          <w:tcPr>
            <w:tcW w:w="6449" w:type="dxa"/>
            <w:vAlign w:val="center"/>
          </w:tcPr>
          <w:p w14:paraId="4A03FB14">
            <w:pPr>
              <w:spacing w:line="360" w:lineRule="auto"/>
              <w:rPr>
                <w:rFonts w:hint="eastAsia" w:ascii="宋体" w:eastAsia="宋体" w:cs="宋体"/>
                <w:sz w:val="21"/>
                <w:szCs w:val="21"/>
                <w:lang w:val="en-US" w:eastAsia="zh-CN"/>
              </w:rPr>
            </w:pPr>
            <w:r>
              <w:rPr>
                <w:rFonts w:hint="eastAsia" w:ascii="宋体"/>
                <w:color w:val="auto"/>
                <w:szCs w:val="21"/>
                <w:lang w:val="en-US" w:eastAsia="zh-CN"/>
              </w:rPr>
              <w:t>3.1</w:t>
            </w:r>
            <w:r>
              <w:rPr>
                <w:rFonts w:hint="eastAsia" w:ascii="宋体" w:eastAsia="宋体"/>
                <w:color w:val="auto"/>
                <w:szCs w:val="21"/>
                <w:lang w:val="en-US" w:eastAsia="zh-CN"/>
              </w:rPr>
              <w:t>具有物理性能检测的万能材料试验机、拉力试验机、硬度计、高精度激光测距仪、三维测量仪、涂层测厚仪、钢结构或焊接件无损检测的超声波探伤仪、磁粉探伤仪</w:t>
            </w:r>
            <w:r>
              <w:rPr>
                <w:rFonts w:hint="eastAsia"/>
                <w:lang w:eastAsia="zh-CN"/>
              </w:rPr>
              <w:t>。</w:t>
            </w:r>
          </w:p>
        </w:tc>
      </w:tr>
      <w:tr w14:paraId="4EE3D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Merge w:val="continue"/>
            <w:vAlign w:val="center"/>
          </w:tcPr>
          <w:p w14:paraId="3968C465">
            <w:pPr>
              <w:jc w:val="center"/>
              <w:rPr>
                <w:rFonts w:hint="eastAsia" w:ascii="宋体" w:hAnsi="宋体" w:eastAsia="宋体" w:cs="宋体"/>
                <w:lang w:val="en-US" w:eastAsia="zh-CN"/>
              </w:rPr>
            </w:pPr>
          </w:p>
        </w:tc>
        <w:tc>
          <w:tcPr>
            <w:tcW w:w="1498" w:type="dxa"/>
            <w:vMerge w:val="continue"/>
            <w:vAlign w:val="center"/>
          </w:tcPr>
          <w:p w14:paraId="7802113C">
            <w:pPr>
              <w:jc w:val="center"/>
              <w:rPr>
                <w:rFonts w:hint="eastAsia" w:ascii="宋体" w:hAnsi="宋体" w:eastAsia="宋体" w:cs="宋体"/>
                <w:lang w:val="en-US" w:eastAsia="zh-CN"/>
              </w:rPr>
            </w:pPr>
          </w:p>
        </w:tc>
        <w:tc>
          <w:tcPr>
            <w:tcW w:w="6449" w:type="dxa"/>
            <w:vAlign w:val="center"/>
          </w:tcPr>
          <w:p w14:paraId="51429EF4">
            <w:pPr>
              <w:spacing w:line="360" w:lineRule="auto"/>
              <w:rPr>
                <w:rFonts w:hint="default" w:ascii="宋体"/>
                <w:color w:val="auto"/>
                <w:szCs w:val="21"/>
                <w:lang w:val="en-US" w:eastAsia="zh-CN"/>
              </w:rPr>
            </w:pPr>
            <w:r>
              <w:rPr>
                <w:rFonts w:hint="eastAsia" w:ascii="宋体"/>
                <w:color w:val="auto"/>
                <w:szCs w:val="21"/>
                <w:lang w:val="en-US" w:eastAsia="zh-CN"/>
              </w:rPr>
              <w:t>3.2</w:t>
            </w:r>
            <w:r>
              <w:rPr>
                <w:rFonts w:hint="eastAsia" w:ascii="宋体" w:eastAsia="宋体"/>
                <w:color w:val="auto"/>
                <w:szCs w:val="21"/>
                <w:lang w:val="en-US" w:eastAsia="zh-CN"/>
              </w:rPr>
              <w:t>具有自动化生产线、数控加工中心</w:t>
            </w:r>
            <w:r>
              <w:rPr>
                <w:rFonts w:hint="eastAsia" w:ascii="宋体"/>
                <w:color w:val="auto"/>
                <w:szCs w:val="21"/>
                <w:lang w:val="en-US" w:eastAsia="zh-CN"/>
              </w:rPr>
              <w:t>。</w:t>
            </w:r>
          </w:p>
        </w:tc>
      </w:tr>
      <w:tr w14:paraId="079B0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Merge w:val="continue"/>
            <w:vAlign w:val="center"/>
          </w:tcPr>
          <w:p w14:paraId="6CD1CE5D">
            <w:pPr>
              <w:jc w:val="center"/>
              <w:rPr>
                <w:rFonts w:hint="eastAsia" w:ascii="宋体" w:hAnsi="宋体" w:eastAsia="宋体" w:cs="宋体"/>
                <w:lang w:val="en-US" w:eastAsia="zh-CN"/>
              </w:rPr>
            </w:pPr>
          </w:p>
        </w:tc>
        <w:tc>
          <w:tcPr>
            <w:tcW w:w="1498" w:type="dxa"/>
            <w:vMerge w:val="continue"/>
            <w:vAlign w:val="center"/>
          </w:tcPr>
          <w:p w14:paraId="540734D1">
            <w:pPr>
              <w:jc w:val="center"/>
              <w:rPr>
                <w:rFonts w:hint="eastAsia" w:ascii="宋体" w:hAnsi="宋体" w:eastAsia="宋体" w:cs="宋体"/>
                <w:lang w:val="en-US" w:eastAsia="zh-CN"/>
              </w:rPr>
            </w:pPr>
          </w:p>
        </w:tc>
        <w:tc>
          <w:tcPr>
            <w:tcW w:w="6449" w:type="dxa"/>
            <w:vAlign w:val="center"/>
          </w:tcPr>
          <w:p w14:paraId="17CD081E">
            <w:pPr>
              <w:spacing w:line="360" w:lineRule="auto"/>
              <w:rPr>
                <w:rFonts w:hint="eastAsia" w:ascii="宋体"/>
                <w:color w:val="auto"/>
                <w:szCs w:val="21"/>
                <w:lang w:val="en-US" w:eastAsia="zh-CN"/>
              </w:rPr>
            </w:pPr>
            <w:r>
              <w:rPr>
                <w:rFonts w:hint="eastAsia" w:ascii="宋体"/>
                <w:color w:val="auto"/>
                <w:szCs w:val="21"/>
                <w:lang w:val="en-US" w:eastAsia="zh-CN"/>
              </w:rPr>
              <w:t>3.3</w:t>
            </w:r>
            <w:r>
              <w:rPr>
                <w:rFonts w:hint="eastAsia" w:ascii="宋体" w:eastAsia="宋体"/>
                <w:color w:val="auto"/>
                <w:szCs w:val="21"/>
                <w:lang w:val="en-US" w:eastAsia="zh-CN"/>
              </w:rPr>
              <w:t>具有一体化生产加工设备（包含钢材切割、构件成型、焊接核心、装配及吊装、涂装、检测检验）</w:t>
            </w:r>
            <w:r>
              <w:rPr>
                <w:rFonts w:hint="eastAsia" w:ascii="宋体"/>
                <w:color w:val="auto"/>
                <w:szCs w:val="21"/>
                <w:lang w:val="en-US" w:eastAsia="zh-CN"/>
              </w:rPr>
              <w:t>。</w:t>
            </w:r>
          </w:p>
        </w:tc>
      </w:tr>
      <w:tr w14:paraId="1FAFA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0" w:type="dxa"/>
            <w:vMerge w:val="continue"/>
            <w:vAlign w:val="center"/>
          </w:tcPr>
          <w:p w14:paraId="7189E9B1">
            <w:pPr>
              <w:jc w:val="center"/>
              <w:rPr>
                <w:rFonts w:hint="eastAsia" w:ascii="宋体" w:hAnsi="宋体" w:eastAsia="宋体" w:cs="宋体"/>
                <w:lang w:val="en-US" w:eastAsia="zh-CN"/>
              </w:rPr>
            </w:pPr>
          </w:p>
        </w:tc>
        <w:tc>
          <w:tcPr>
            <w:tcW w:w="1498" w:type="dxa"/>
            <w:vMerge w:val="continue"/>
            <w:vAlign w:val="center"/>
          </w:tcPr>
          <w:p w14:paraId="62535D31">
            <w:pPr>
              <w:jc w:val="center"/>
              <w:rPr>
                <w:rFonts w:hint="eastAsia" w:ascii="宋体" w:hAnsi="宋体" w:eastAsia="宋体" w:cs="宋体"/>
                <w:lang w:val="en-US" w:eastAsia="zh-CN"/>
              </w:rPr>
            </w:pPr>
          </w:p>
        </w:tc>
        <w:tc>
          <w:tcPr>
            <w:tcW w:w="6449" w:type="dxa"/>
            <w:vAlign w:val="center"/>
          </w:tcPr>
          <w:p w14:paraId="4E3F1C4C">
            <w:pPr>
              <w:spacing w:line="360" w:lineRule="auto"/>
              <w:rPr>
                <w:rFonts w:hint="default" w:ascii="宋体"/>
                <w:color w:val="auto"/>
                <w:szCs w:val="21"/>
                <w:lang w:val="en-US" w:eastAsia="zh-CN"/>
              </w:rPr>
            </w:pPr>
            <w:r>
              <w:rPr>
                <w:rFonts w:hint="eastAsia" w:ascii="宋体"/>
                <w:color w:val="auto"/>
                <w:szCs w:val="21"/>
                <w:lang w:val="en-US" w:eastAsia="zh-CN"/>
              </w:rPr>
              <w:t>3.4</w:t>
            </w:r>
            <w:r>
              <w:rPr>
                <w:rFonts w:hint="eastAsia" w:ascii="宋体" w:eastAsia="宋体"/>
                <w:color w:val="auto"/>
                <w:szCs w:val="21"/>
                <w:lang w:val="en-US" w:eastAsia="zh-CN"/>
              </w:rPr>
              <w:t>具有不少于100T移动式抱船机的起吊设备</w:t>
            </w:r>
            <w:r>
              <w:rPr>
                <w:rFonts w:hint="eastAsia" w:ascii="宋体"/>
                <w:color w:val="auto"/>
                <w:szCs w:val="21"/>
                <w:lang w:val="en-US" w:eastAsia="zh-CN"/>
              </w:rPr>
              <w:t>。</w:t>
            </w:r>
          </w:p>
        </w:tc>
      </w:tr>
      <w:bookmarkEnd w:id="27"/>
    </w:tbl>
    <w:p w14:paraId="02BDFC33">
      <w:pPr>
        <w:pStyle w:val="5"/>
        <w:spacing w:before="120" w:beforeLines="50" w:after="120" w:afterLines="50"/>
        <w:rPr>
          <w:sz w:val="28"/>
          <w:szCs w:val="28"/>
        </w:rPr>
      </w:pPr>
    </w:p>
    <w:p w14:paraId="03E7AA5C">
      <w:pPr>
        <w:keepNext/>
        <w:keepLines/>
        <w:widowControl w:val="0"/>
        <w:suppressLineNumbers w:val="0"/>
        <w:adjustRightInd w:val="0"/>
        <w:spacing w:before="120" w:beforeLines="50" w:beforeAutospacing="0" w:after="120" w:afterLines="50" w:afterAutospacing="0"/>
        <w:ind w:left="0" w:right="0"/>
        <w:jc w:val="center"/>
        <w:textAlignment w:val="baseline"/>
        <w:outlineLvl w:val="1"/>
        <w:rPr>
          <w:rFonts w:hint="eastAsia" w:ascii="宋体" w:eastAsia="宋体" w:cs="Times New Roman"/>
          <w:b/>
          <w:bCs/>
          <w:kern w:val="0"/>
          <w:sz w:val="28"/>
          <w:szCs w:val="28"/>
          <w:vertAlign w:val="baseline"/>
        </w:rPr>
      </w:pPr>
      <w:r>
        <w:rPr>
          <w:rFonts w:hint="eastAsia" w:ascii="宋体" w:cs="宋体"/>
          <w:b/>
          <w:bCs/>
          <w:kern w:val="0"/>
          <w:sz w:val="28"/>
          <w:szCs w:val="28"/>
          <w:vertAlign w:val="baseline"/>
          <w:lang w:val="en-US" w:eastAsia="zh-CN"/>
        </w:rPr>
        <w:t>六</w:t>
      </w:r>
      <w:r>
        <w:rPr>
          <w:rFonts w:hint="eastAsia" w:ascii="宋体" w:eastAsia="宋体" w:cs="宋体"/>
          <w:b/>
          <w:bCs/>
          <w:kern w:val="0"/>
          <w:sz w:val="28"/>
          <w:szCs w:val="28"/>
          <w:vertAlign w:val="baseline"/>
          <w:lang w:val="en-US" w:eastAsia="zh-CN"/>
        </w:rPr>
        <w:t>、投标/响应方案要求</w:t>
      </w:r>
    </w:p>
    <w:p w14:paraId="327869B2">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eastAsia="宋体" w:cs="宋体"/>
          <w:kern w:val="2"/>
          <w:sz w:val="21"/>
          <w:szCs w:val="21"/>
          <w:lang w:val="en-US" w:eastAsia="zh-CN"/>
        </w:rPr>
      </w:pPr>
    </w:p>
    <w:p w14:paraId="1A32ADC6">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eastAsia="宋体" w:cs="Times New Roman"/>
          <w:kern w:val="2"/>
          <w:sz w:val="21"/>
          <w:szCs w:val="21"/>
        </w:rPr>
      </w:pPr>
      <w:r>
        <w:rPr>
          <w:rFonts w:hint="eastAsia" w:ascii="宋体" w:eastAsia="宋体" w:cs="宋体"/>
          <w:kern w:val="2"/>
          <w:sz w:val="21"/>
          <w:szCs w:val="21"/>
          <w:lang w:val="en-US" w:eastAsia="zh-CN"/>
        </w:rPr>
        <w:t>投标人应在满足★必备指标项要求的前提下，根据项目特点和采购需求，制定以下更为完整、详细、可操作性强的方案。</w:t>
      </w:r>
    </w:p>
    <w:p w14:paraId="1D5D07FD">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eastAsia="宋体" w:cs="Times New Roman"/>
          <w:kern w:val="2"/>
          <w:sz w:val="21"/>
          <w:szCs w:val="21"/>
        </w:rPr>
      </w:pPr>
      <w:r>
        <w:rPr>
          <w:rFonts w:hint="eastAsia" w:ascii="宋体" w:eastAsia="宋体" w:cs="宋体"/>
          <w:kern w:val="2"/>
          <w:sz w:val="21"/>
          <w:szCs w:val="21"/>
          <w:lang w:val="en-US" w:eastAsia="zh-CN"/>
        </w:rPr>
        <w:t>（一）提供</w:t>
      </w:r>
      <w:r>
        <w:rPr>
          <w:rFonts w:hint="eastAsia" w:ascii="宋体" w:eastAsia="宋体"/>
          <w:color w:val="auto"/>
          <w:szCs w:val="21"/>
        </w:rPr>
        <w:t>项目技术方案</w:t>
      </w:r>
      <w:r>
        <w:rPr>
          <w:rFonts w:hint="eastAsia" w:ascii="宋体" w:eastAsia="宋体" w:cs="宋体"/>
          <w:kern w:val="2"/>
          <w:sz w:val="21"/>
          <w:szCs w:val="21"/>
          <w:lang w:val="en-US" w:eastAsia="zh-CN"/>
        </w:rPr>
        <w:t>，内容包含但不限于：</w:t>
      </w:r>
    </w:p>
    <w:p w14:paraId="55EAFAC7">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eastAsia="宋体" w:cs="宋体"/>
          <w:kern w:val="2"/>
          <w:sz w:val="21"/>
          <w:szCs w:val="21"/>
          <w:lang w:val="en-US" w:eastAsia="zh-CN"/>
        </w:rPr>
      </w:pPr>
      <w:r>
        <w:rPr>
          <w:rFonts w:hint="eastAsia" w:ascii="宋体" w:cs="宋体"/>
          <w:kern w:val="2"/>
          <w:sz w:val="21"/>
          <w:szCs w:val="21"/>
          <w:lang w:val="en-US" w:eastAsia="zh-CN"/>
        </w:rPr>
        <w:t>1、</w:t>
      </w:r>
      <w:r>
        <w:rPr>
          <w:rFonts w:hint="eastAsia" w:ascii="宋体" w:eastAsia="宋体" w:cs="宋体"/>
          <w:kern w:val="2"/>
          <w:sz w:val="21"/>
          <w:szCs w:val="21"/>
          <w:lang w:val="en-US" w:eastAsia="zh-CN"/>
        </w:rPr>
        <w:t>船体设计；</w:t>
      </w:r>
    </w:p>
    <w:p w14:paraId="3421A406">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eastAsia="宋体" w:cs="宋体"/>
          <w:kern w:val="2"/>
          <w:sz w:val="21"/>
          <w:szCs w:val="21"/>
          <w:lang w:val="en-US" w:eastAsia="zh-CN"/>
        </w:rPr>
      </w:pPr>
      <w:r>
        <w:rPr>
          <w:rFonts w:hint="eastAsia" w:ascii="宋体" w:cs="宋体"/>
          <w:kern w:val="2"/>
          <w:sz w:val="21"/>
          <w:szCs w:val="21"/>
          <w:lang w:val="en-US" w:eastAsia="zh-CN"/>
        </w:rPr>
        <w:t>2、</w:t>
      </w:r>
      <w:r>
        <w:rPr>
          <w:rFonts w:hint="eastAsia" w:ascii="宋体" w:eastAsia="宋体" w:cs="宋体"/>
          <w:kern w:val="2"/>
          <w:sz w:val="21"/>
          <w:szCs w:val="21"/>
          <w:lang w:val="en-US" w:eastAsia="zh-CN"/>
        </w:rPr>
        <w:t>轮机设计；</w:t>
      </w:r>
    </w:p>
    <w:p w14:paraId="3C3B3642">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eastAsia="宋体" w:cs="宋体"/>
          <w:kern w:val="2"/>
          <w:sz w:val="21"/>
          <w:szCs w:val="21"/>
          <w:lang w:val="en-US" w:eastAsia="zh-CN"/>
        </w:rPr>
      </w:pPr>
      <w:r>
        <w:rPr>
          <w:rFonts w:hint="eastAsia" w:ascii="宋体" w:cs="宋体"/>
          <w:kern w:val="2"/>
          <w:sz w:val="21"/>
          <w:szCs w:val="21"/>
          <w:lang w:val="en-US" w:eastAsia="zh-CN"/>
        </w:rPr>
        <w:t>3、</w:t>
      </w:r>
      <w:r>
        <w:rPr>
          <w:rFonts w:hint="eastAsia" w:ascii="宋体" w:eastAsia="宋体" w:cs="宋体"/>
          <w:kern w:val="2"/>
          <w:sz w:val="21"/>
          <w:szCs w:val="21"/>
          <w:lang w:val="en-US" w:eastAsia="zh-CN"/>
        </w:rPr>
        <w:t>电气设计。</w:t>
      </w:r>
    </w:p>
    <w:p w14:paraId="6AABC630">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eastAsia="宋体" w:cs="Times New Roman"/>
          <w:kern w:val="2"/>
          <w:sz w:val="21"/>
          <w:szCs w:val="21"/>
        </w:rPr>
      </w:pPr>
      <w:r>
        <w:rPr>
          <w:rFonts w:hint="eastAsia" w:ascii="宋体" w:eastAsia="宋体" w:cs="宋体"/>
          <w:kern w:val="2"/>
          <w:sz w:val="21"/>
          <w:szCs w:val="21"/>
          <w:lang w:val="en-US" w:eastAsia="zh-CN"/>
        </w:rPr>
        <w:t>（二）提供</w:t>
      </w:r>
      <w:r>
        <w:rPr>
          <w:rFonts w:hint="eastAsia" w:ascii="宋体" w:eastAsia="宋体"/>
          <w:szCs w:val="21"/>
        </w:rPr>
        <w:t>项目实施方案</w:t>
      </w:r>
      <w:r>
        <w:rPr>
          <w:rFonts w:hint="eastAsia" w:ascii="宋体" w:eastAsia="宋体" w:cs="宋体"/>
          <w:kern w:val="2"/>
          <w:sz w:val="21"/>
          <w:szCs w:val="21"/>
          <w:lang w:val="en-US" w:eastAsia="zh-CN"/>
        </w:rPr>
        <w:t>，内容包含但不限于：</w:t>
      </w:r>
    </w:p>
    <w:p w14:paraId="05153ABE">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eastAsia="宋体" w:cs="宋体"/>
          <w:kern w:val="2"/>
          <w:sz w:val="21"/>
          <w:szCs w:val="21"/>
          <w:lang w:val="en-US" w:eastAsia="zh-CN"/>
        </w:rPr>
      </w:pPr>
      <w:r>
        <w:rPr>
          <w:rFonts w:hint="eastAsia" w:ascii="宋体" w:cs="宋体"/>
          <w:kern w:val="2"/>
          <w:sz w:val="21"/>
          <w:szCs w:val="21"/>
          <w:lang w:val="en-US" w:eastAsia="zh-CN"/>
        </w:rPr>
        <w:t>1、</w:t>
      </w:r>
      <w:r>
        <w:rPr>
          <w:rFonts w:hint="eastAsia" w:ascii="宋体" w:eastAsia="宋体" w:cs="宋体"/>
          <w:kern w:val="2"/>
          <w:sz w:val="21"/>
          <w:szCs w:val="21"/>
          <w:lang w:val="en-US" w:eastAsia="zh-CN"/>
        </w:rPr>
        <w:t>质量、安全管理体系及措施；</w:t>
      </w:r>
    </w:p>
    <w:p w14:paraId="791BAC25">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eastAsia="宋体" w:cs="宋体"/>
          <w:kern w:val="2"/>
          <w:sz w:val="21"/>
          <w:szCs w:val="21"/>
          <w:lang w:val="en-US" w:eastAsia="zh-CN"/>
        </w:rPr>
      </w:pPr>
      <w:r>
        <w:rPr>
          <w:rFonts w:hint="eastAsia" w:ascii="宋体" w:cs="宋体"/>
          <w:kern w:val="2"/>
          <w:sz w:val="21"/>
          <w:szCs w:val="21"/>
          <w:lang w:val="en-US" w:eastAsia="zh-CN"/>
        </w:rPr>
        <w:t>2、</w:t>
      </w:r>
      <w:r>
        <w:rPr>
          <w:rFonts w:hint="eastAsia" w:ascii="宋体" w:eastAsia="宋体" w:cs="宋体"/>
          <w:kern w:val="2"/>
          <w:sz w:val="21"/>
          <w:szCs w:val="21"/>
          <w:lang w:val="en-US" w:eastAsia="zh-CN"/>
        </w:rPr>
        <w:t>产品生产规范；</w:t>
      </w:r>
    </w:p>
    <w:p w14:paraId="7691594D">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eastAsia="宋体" w:cs="宋体"/>
          <w:kern w:val="2"/>
          <w:sz w:val="21"/>
          <w:szCs w:val="21"/>
          <w:lang w:val="en-US" w:eastAsia="zh-CN"/>
        </w:rPr>
      </w:pPr>
      <w:r>
        <w:rPr>
          <w:rFonts w:hint="eastAsia" w:ascii="宋体" w:cs="宋体"/>
          <w:kern w:val="2"/>
          <w:sz w:val="21"/>
          <w:szCs w:val="21"/>
          <w:lang w:val="en-US" w:eastAsia="zh-CN"/>
        </w:rPr>
        <w:t>3、</w:t>
      </w:r>
      <w:r>
        <w:rPr>
          <w:rFonts w:hint="eastAsia" w:ascii="宋体" w:eastAsia="宋体" w:cs="宋体"/>
          <w:kern w:val="2"/>
          <w:sz w:val="21"/>
          <w:szCs w:val="21"/>
          <w:lang w:val="en-US" w:eastAsia="zh-CN"/>
        </w:rPr>
        <w:t>生产及供货进度计划。</w:t>
      </w:r>
    </w:p>
    <w:p w14:paraId="514B1FE2">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eastAsia="宋体" w:cs="Times New Roman"/>
          <w:kern w:val="2"/>
          <w:sz w:val="21"/>
          <w:szCs w:val="21"/>
        </w:rPr>
      </w:pPr>
      <w:r>
        <w:rPr>
          <w:rFonts w:hint="eastAsia" w:ascii="宋体" w:eastAsia="宋体" w:cs="宋体"/>
          <w:kern w:val="2"/>
          <w:sz w:val="21"/>
          <w:szCs w:val="21"/>
          <w:lang w:val="en-US" w:eastAsia="zh-CN"/>
        </w:rPr>
        <w:t>（</w:t>
      </w:r>
      <w:r>
        <w:rPr>
          <w:rFonts w:hint="eastAsia" w:ascii="宋体" w:cs="宋体"/>
          <w:kern w:val="2"/>
          <w:sz w:val="21"/>
          <w:szCs w:val="21"/>
          <w:lang w:val="en-US" w:eastAsia="zh-CN"/>
        </w:rPr>
        <w:t>三</w:t>
      </w:r>
      <w:r>
        <w:rPr>
          <w:rFonts w:hint="eastAsia" w:ascii="宋体" w:eastAsia="宋体" w:cs="宋体"/>
          <w:kern w:val="2"/>
          <w:sz w:val="21"/>
          <w:szCs w:val="21"/>
          <w:lang w:val="en-US" w:eastAsia="zh-CN"/>
        </w:rPr>
        <w:t>）提供</w:t>
      </w:r>
      <w:r>
        <w:rPr>
          <w:rFonts w:hint="eastAsia" w:ascii="宋体" w:eastAsia="宋体"/>
          <w:color w:val="000000"/>
          <w:szCs w:val="21"/>
        </w:rPr>
        <w:t>售后服务方案</w:t>
      </w:r>
      <w:r>
        <w:rPr>
          <w:rFonts w:hint="eastAsia" w:ascii="宋体" w:eastAsia="宋体" w:cs="宋体"/>
          <w:kern w:val="2"/>
          <w:sz w:val="21"/>
          <w:szCs w:val="21"/>
          <w:lang w:val="en-US" w:eastAsia="zh-CN"/>
        </w:rPr>
        <w:t>，内容包含但不限于：</w:t>
      </w:r>
    </w:p>
    <w:p w14:paraId="6B1D10B1">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eastAsia="宋体" w:cs="宋体"/>
          <w:kern w:val="2"/>
          <w:sz w:val="21"/>
          <w:szCs w:val="21"/>
          <w:lang w:val="en-US" w:eastAsia="zh-CN"/>
        </w:rPr>
      </w:pPr>
      <w:r>
        <w:rPr>
          <w:rFonts w:hint="eastAsia" w:ascii="宋体" w:cs="宋体"/>
          <w:kern w:val="2"/>
          <w:sz w:val="21"/>
          <w:szCs w:val="21"/>
          <w:lang w:val="en-US" w:eastAsia="zh-CN"/>
        </w:rPr>
        <w:t>1、</w:t>
      </w:r>
      <w:r>
        <w:rPr>
          <w:rFonts w:hint="eastAsia" w:ascii="宋体" w:eastAsia="宋体" w:cs="宋体"/>
          <w:kern w:val="2"/>
          <w:sz w:val="21"/>
          <w:szCs w:val="21"/>
          <w:lang w:val="en-US" w:eastAsia="zh-CN"/>
        </w:rPr>
        <w:t>售后服务承诺；</w:t>
      </w:r>
    </w:p>
    <w:p w14:paraId="3BB8EC75">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eastAsia="宋体" w:cs="宋体"/>
          <w:kern w:val="2"/>
          <w:sz w:val="21"/>
          <w:szCs w:val="21"/>
          <w:lang w:val="en-US" w:eastAsia="zh-CN"/>
        </w:rPr>
      </w:pPr>
      <w:r>
        <w:rPr>
          <w:rFonts w:hint="eastAsia" w:ascii="宋体" w:cs="宋体"/>
          <w:kern w:val="2"/>
          <w:sz w:val="21"/>
          <w:szCs w:val="21"/>
          <w:lang w:val="en-US" w:eastAsia="zh-CN"/>
        </w:rPr>
        <w:t>2、</w:t>
      </w:r>
      <w:r>
        <w:rPr>
          <w:rFonts w:hint="eastAsia" w:ascii="宋体" w:eastAsia="宋体" w:cs="宋体"/>
          <w:kern w:val="2"/>
          <w:sz w:val="21"/>
          <w:szCs w:val="21"/>
          <w:lang w:val="en-US" w:eastAsia="zh-CN"/>
        </w:rPr>
        <w:t>应急措施；</w:t>
      </w:r>
    </w:p>
    <w:p w14:paraId="16E9DBB7">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eastAsia="宋体" w:cs="宋体"/>
          <w:kern w:val="2"/>
          <w:sz w:val="21"/>
          <w:szCs w:val="21"/>
          <w:lang w:val="en-US" w:eastAsia="zh-CN"/>
        </w:rPr>
      </w:pPr>
      <w:r>
        <w:rPr>
          <w:rFonts w:hint="eastAsia" w:ascii="宋体" w:cs="宋体"/>
          <w:kern w:val="2"/>
          <w:sz w:val="21"/>
          <w:szCs w:val="21"/>
          <w:lang w:val="en-US" w:eastAsia="zh-CN"/>
        </w:rPr>
        <w:t>3、</w:t>
      </w:r>
      <w:r>
        <w:rPr>
          <w:rFonts w:hint="eastAsia" w:ascii="宋体" w:eastAsia="宋体" w:cs="宋体"/>
          <w:kern w:val="2"/>
          <w:sz w:val="21"/>
          <w:szCs w:val="21"/>
          <w:lang w:val="en-US" w:eastAsia="zh-CN"/>
        </w:rPr>
        <w:t>培训方案；</w:t>
      </w:r>
    </w:p>
    <w:p w14:paraId="70BEB74D">
      <w:pPr>
        <w:keepNext w:val="0"/>
        <w:keepLines w:val="0"/>
        <w:widowControl w:val="0"/>
        <w:suppressLineNumbers w:val="0"/>
        <w:spacing w:before="0" w:beforeAutospacing="0" w:after="0" w:afterAutospacing="0" w:line="360" w:lineRule="auto"/>
        <w:ind w:left="0" w:right="0" w:firstLine="420" w:firstLineChars="200"/>
        <w:jc w:val="left"/>
        <w:rPr>
          <w:rFonts w:hint="eastAsia" w:ascii="宋体" w:eastAsia="宋体" w:cs="宋体"/>
          <w:kern w:val="2"/>
          <w:sz w:val="21"/>
          <w:szCs w:val="21"/>
          <w:lang w:val="en-US" w:eastAsia="zh-CN"/>
        </w:rPr>
      </w:pPr>
      <w:r>
        <w:rPr>
          <w:rFonts w:hint="eastAsia" w:ascii="宋体" w:cs="宋体"/>
          <w:kern w:val="2"/>
          <w:sz w:val="21"/>
          <w:szCs w:val="21"/>
          <w:lang w:val="en-US" w:eastAsia="zh-CN"/>
        </w:rPr>
        <w:t>4、</w:t>
      </w:r>
      <w:r>
        <w:rPr>
          <w:rFonts w:hint="eastAsia" w:ascii="宋体" w:eastAsia="宋体" w:cs="宋体"/>
          <w:kern w:val="2"/>
          <w:sz w:val="21"/>
          <w:szCs w:val="21"/>
          <w:lang w:val="en-US" w:eastAsia="zh-CN"/>
        </w:rPr>
        <w:t>售后服务机构及维护人员配置。</w:t>
      </w:r>
      <w:r>
        <w:rPr>
          <w:rFonts w:hint="eastAsia" w:ascii="宋体" w:eastAsia="宋体" w:cs="宋体"/>
          <w:kern w:val="2"/>
          <w:sz w:val="21"/>
          <w:szCs w:val="21"/>
          <w:lang w:val="en-US" w:eastAsia="zh-CN"/>
        </w:rPr>
        <w:br w:type="page"/>
      </w:r>
    </w:p>
    <w:p w14:paraId="6B7B3A1F">
      <w:pPr>
        <w:rPr>
          <w:rFonts w:hint="eastAsia" w:ascii="宋体" w:cs="宋体"/>
          <w:szCs w:val="21"/>
          <w:highlight w:val="yellow"/>
        </w:rPr>
      </w:pPr>
    </w:p>
    <w:p w14:paraId="310A8C49">
      <w:pPr>
        <w:pStyle w:val="5"/>
        <w:ind w:firstLine="2409" w:firstLineChars="1000"/>
        <w:jc w:val="both"/>
        <w:rPr>
          <w:b/>
          <w:bCs/>
          <w:kern w:val="2"/>
        </w:rPr>
      </w:pPr>
      <w:r>
        <w:rPr>
          <w:rFonts w:hint="eastAsia"/>
          <w:b/>
          <w:bCs/>
          <w:kern w:val="2"/>
        </w:rPr>
        <w:t>第三章</w:t>
      </w:r>
      <w:r>
        <w:rPr>
          <w:b/>
          <w:bCs/>
          <w:kern w:val="2"/>
        </w:rPr>
        <w:t xml:space="preserve"> </w:t>
      </w:r>
      <w:r>
        <w:rPr>
          <w:rFonts w:hint="eastAsia"/>
          <w:b/>
          <w:bCs/>
          <w:kern w:val="2"/>
        </w:rPr>
        <w:t xml:space="preserve"> 投标文件格式、附件</w:t>
      </w:r>
    </w:p>
    <w:p w14:paraId="0B3EB702">
      <w:pPr>
        <w:rPr>
          <w:b/>
          <w:bCs/>
          <w:sz w:val="24"/>
          <w:szCs w:val="32"/>
        </w:rPr>
      </w:pPr>
      <w:r>
        <w:rPr>
          <w:rFonts w:hint="eastAsia"/>
          <w:b/>
          <w:bCs/>
          <w:sz w:val="24"/>
          <w:szCs w:val="32"/>
        </w:rPr>
        <w:t>特别提醒：</w:t>
      </w:r>
    </w:p>
    <w:p w14:paraId="6D831945">
      <w:pPr>
        <w:rPr>
          <w:b/>
          <w:bCs/>
          <w:sz w:val="24"/>
          <w:szCs w:val="32"/>
        </w:rPr>
      </w:pPr>
    </w:p>
    <w:p w14:paraId="5A6E6F42">
      <w:pPr>
        <w:widowControl/>
        <w:ind w:firstLine="482" w:firstLineChars="200"/>
        <w:jc w:val="left"/>
        <w:rPr>
          <w:rFonts w:ascii="仿宋_GB2312" w:eastAsia="仿宋_GB2312"/>
          <w:kern w:val="0"/>
          <w:sz w:val="24"/>
        </w:rPr>
      </w:pPr>
      <w:r>
        <w:rPr>
          <w:rFonts w:hint="eastAsia" w:ascii="仿宋_GB2312" w:eastAsia="仿宋_GB2312"/>
          <w:b/>
          <w:kern w:val="0"/>
          <w:sz w:val="24"/>
        </w:rPr>
        <w:t>投标文件正文将对外公开，投标文件附件不公开。</w:t>
      </w:r>
      <w:r>
        <w:rPr>
          <w:rFonts w:hint="eastAsia" w:ascii="仿宋_GB2312" w:eastAsia="仿宋_GB2312"/>
          <w:kern w:val="0"/>
          <w:sz w:val="24"/>
        </w:rPr>
        <w:t>投标人在编辑投标文件时，在投标文件目录中属于本节点内容的必须在本节点中填写，填写到其他节点或附件的将可能导致投标无效，一切后果由供应商自行承担。</w:t>
      </w:r>
    </w:p>
    <w:p w14:paraId="5BB7B4BE">
      <w:pPr>
        <w:widowControl/>
        <w:jc w:val="left"/>
        <w:rPr>
          <w:rFonts w:ascii="仿宋_GB2312" w:eastAsia="仿宋_GB2312"/>
          <w:kern w:val="0"/>
          <w:sz w:val="24"/>
        </w:rPr>
      </w:pPr>
      <w:r>
        <w:rPr>
          <w:rFonts w:hint="eastAsia" w:ascii="仿宋_GB2312" w:eastAsia="仿宋_GB2312"/>
          <w:kern w:val="0"/>
          <w:sz w:val="24"/>
        </w:rPr>
        <w:t xml:space="preserve">    投标人应按招标文件规定的“投标文件组成”编制投标文件正文（信息公开部分）和投标文件附件（信息不公开部分），举例如下图：</w:t>
      </w:r>
    </w:p>
    <w:p w14:paraId="6A361C96">
      <w:pPr>
        <w:widowControl/>
        <w:jc w:val="center"/>
        <w:rPr>
          <w:rFonts w:ascii="宋体" w:eastAsia="宋体" w:cs="宋体"/>
          <w:kern w:val="0"/>
          <w:sz w:val="24"/>
          <w:highlight w:val="green"/>
        </w:rPr>
      </w:pPr>
      <w:r>
        <w:rPr>
          <w:rFonts w:ascii="仿宋_GB2312" w:eastAsia="仿宋_GB2312"/>
          <w:kern w:val="0"/>
          <w:sz w:val="24"/>
          <w:highlight w:val="green"/>
        </w:rPr>
        <w:drawing>
          <wp:inline distT="0" distB="0" distL="0" distR="0">
            <wp:extent cx="5278755" cy="4126230"/>
            <wp:effectExtent l="0" t="0" r="0" b="0"/>
            <wp:docPr id="7" name="图片 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形用户界面, 应用程序&#10;&#10;描述已自动生成"/>
                    <pic:cNvPicPr>
                      <a:picLocks noChangeAspect="1"/>
                    </pic:cNvPicPr>
                  </pic:nvPicPr>
                  <pic:blipFill>
                    <a:blip r:embed="rId9"/>
                    <a:stretch>
                      <a:fillRect/>
                    </a:stretch>
                  </pic:blipFill>
                  <pic:spPr>
                    <a:xfrm>
                      <a:off x="0" y="0"/>
                      <a:ext cx="5278755" cy="4126230"/>
                    </a:xfrm>
                    <a:prstGeom prst="rect">
                      <a:avLst/>
                    </a:prstGeom>
                    <a:noFill/>
                    <a:ln w="12700" cap="flat" cmpd="sng">
                      <a:noFill/>
                      <a:prstDash val="solid"/>
                      <a:round/>
                    </a:ln>
                  </pic:spPr>
                </pic:pic>
              </a:graphicData>
            </a:graphic>
          </wp:inline>
        </w:drawing>
      </w:r>
    </w:p>
    <w:p w14:paraId="2D9F7C76">
      <w:pPr>
        <w:widowControl/>
        <w:jc w:val="center"/>
        <w:rPr>
          <w:rFonts w:ascii="仿宋_GB2312" w:eastAsia="仿宋_GB2312"/>
          <w:kern w:val="0"/>
          <w:sz w:val="24"/>
          <w:highlight w:val="green"/>
        </w:rPr>
      </w:pPr>
    </w:p>
    <w:p w14:paraId="6B87BBCE">
      <w:pPr>
        <w:widowControl/>
        <w:ind w:firstLine="480" w:firstLineChars="200"/>
        <w:jc w:val="left"/>
        <w:rPr>
          <w:rFonts w:ascii="仿宋_GB2312" w:eastAsia="仿宋_GB2312"/>
          <w:b/>
          <w:kern w:val="0"/>
          <w:sz w:val="24"/>
        </w:rPr>
      </w:pPr>
      <w:bookmarkStart w:id="28" w:name="_Hlk72257167"/>
      <w:r>
        <w:rPr>
          <w:rFonts w:hint="eastAsia" w:ascii="仿宋_GB2312" w:eastAsia="仿宋_GB2312"/>
          <w:kern w:val="0"/>
          <w:sz w:val="24"/>
        </w:rPr>
        <w:t>采购代理机构公布投标文件正文（信息公开部分）时为计算机截取信息自动公布，</w:t>
      </w:r>
      <w:r>
        <w:rPr>
          <w:rFonts w:hint="eastAsia" w:ascii="仿宋_GB2312" w:eastAsia="仿宋_GB2312"/>
          <w:b/>
          <w:bCs/>
          <w:kern w:val="0"/>
          <w:sz w:val="24"/>
        </w:rPr>
        <w:t>如投标人误将涉及个人隐私或其他重要信息放入投标文件正文，相关后果由投标人自负；</w:t>
      </w:r>
      <w:r>
        <w:rPr>
          <w:rFonts w:hint="eastAsia" w:ascii="仿宋_GB2312" w:eastAsia="仿宋_GB2312"/>
          <w:b/>
          <w:kern w:val="0"/>
          <w:sz w:val="24"/>
        </w:rPr>
        <w:t>如投标人将必须放于投标文件正文（信息公开部分）的内容放入投标文件附件（信息不公开部分），将作投标无效处理。</w:t>
      </w:r>
    </w:p>
    <w:bookmarkEnd w:id="28"/>
    <w:p w14:paraId="71321EBB">
      <w:pPr>
        <w:rPr>
          <w:rFonts w:ascii="仿宋_GB2312" w:eastAsia="仿宋_GB2312"/>
          <w:sz w:val="24"/>
        </w:rPr>
      </w:pPr>
    </w:p>
    <w:p w14:paraId="66734203">
      <w:pPr>
        <w:rPr>
          <w:rFonts w:hint="eastAsia" w:ascii="宋体"/>
          <w:sz w:val="24"/>
        </w:rPr>
      </w:pPr>
      <w:r>
        <w:rPr>
          <w:rFonts w:hint="eastAsia" w:ascii="宋体"/>
          <w:sz w:val="24"/>
        </w:rPr>
        <w:br w:type="page"/>
      </w:r>
    </w:p>
    <w:p w14:paraId="6C5EB29A">
      <w:pPr>
        <w:rPr>
          <w:rFonts w:hint="eastAsia" w:ascii="宋体"/>
          <w:sz w:val="24"/>
        </w:rPr>
      </w:pPr>
      <w:r>
        <w:rPr>
          <w:rFonts w:hint="eastAsia" w:ascii="宋体"/>
          <w:sz w:val="24"/>
        </w:rPr>
        <w:t>投标文件组成：</w:t>
      </w:r>
    </w:p>
    <w:p w14:paraId="31DCF816">
      <w:pPr>
        <w:rPr>
          <w:rFonts w:hint="eastAsia" w:ascii="宋体"/>
          <w:b/>
          <w:bCs/>
          <w:color w:val="auto"/>
          <w:sz w:val="24"/>
          <w:lang w:eastAsia="zh-CN"/>
        </w:rPr>
      </w:pPr>
      <w:r>
        <w:rPr>
          <w:rFonts w:hint="eastAsia" w:ascii="宋体"/>
          <w:b/>
          <w:bCs/>
          <w:color w:val="auto"/>
          <w:sz w:val="24"/>
          <w:lang w:eastAsia="zh-CN"/>
        </w:rPr>
        <w:t>注：投标人综合实力的部分证明材料（认证证书、获奖证书、 知识产权证书等，不包括业绩合同），应纳入投标文件信息公开部分。</w:t>
      </w:r>
    </w:p>
    <w:p w14:paraId="37862232">
      <w:pPr>
        <w:pStyle w:val="7"/>
        <w:ind w:firstLine="989" w:firstLineChars="471"/>
        <w:rPr>
          <w:rFonts w:hint="eastAsia" w:ascii="宋体"/>
          <w:szCs w:val="21"/>
        </w:rPr>
      </w:pPr>
    </w:p>
    <w:p w14:paraId="6C36A2F1">
      <w:pPr>
        <w:pStyle w:val="7"/>
        <w:ind w:left="0" w:firstLine="420" w:firstLineChars="200"/>
        <w:rPr>
          <w:rFonts w:hint="eastAsia" w:ascii="宋体"/>
          <w:szCs w:val="21"/>
        </w:rPr>
      </w:pPr>
    </w:p>
    <w:p w14:paraId="3BF5AB12">
      <w:pPr>
        <w:ind w:firstLine="424" w:firstLineChars="202"/>
        <w:rPr>
          <w:rFonts w:ascii="宋体"/>
          <w:sz w:val="24"/>
        </w:rPr>
      </w:pPr>
      <w:r>
        <w:rPr>
          <w:rFonts w:hint="eastAsia" w:ascii="宋体"/>
        </w:rPr>
        <w:t>1.</w:t>
      </w:r>
      <w:r>
        <w:rPr>
          <w:rFonts w:hint="eastAsia" w:ascii="宋体"/>
          <w:b/>
        </w:rPr>
        <w:t>投标文件正文</w:t>
      </w:r>
      <w:r>
        <w:rPr>
          <w:rFonts w:hint="eastAsia" w:ascii="宋体"/>
          <w:b/>
          <w:szCs w:val="21"/>
        </w:rPr>
        <w:t>（信息公开部分）</w:t>
      </w:r>
      <w:r>
        <w:rPr>
          <w:rFonts w:hint="eastAsia" w:ascii="宋体"/>
        </w:rPr>
        <w:t>，主要</w:t>
      </w:r>
      <w:r>
        <w:rPr>
          <w:rFonts w:hint="eastAsia" w:ascii="宋体"/>
          <w:szCs w:val="21"/>
        </w:rPr>
        <w:t>包括以下内容：</w:t>
      </w:r>
    </w:p>
    <w:p w14:paraId="1DA6B4DF">
      <w:pPr>
        <w:spacing w:before="60" w:beforeLines="25" w:after="60" w:afterLines="25"/>
        <w:ind w:firstLine="989" w:firstLineChars="471"/>
        <w:rPr>
          <w:rFonts w:ascii="宋体"/>
          <w:szCs w:val="21"/>
        </w:rPr>
      </w:pPr>
      <w:r>
        <w:rPr>
          <w:rFonts w:hint="eastAsia" w:ascii="宋体"/>
          <w:szCs w:val="21"/>
        </w:rPr>
        <w:t>（1）投标函</w:t>
      </w:r>
    </w:p>
    <w:p w14:paraId="17A499D9">
      <w:pPr>
        <w:spacing w:before="60" w:beforeLines="25" w:after="60" w:afterLines="25"/>
        <w:ind w:firstLine="989" w:firstLineChars="471"/>
        <w:rPr>
          <w:rFonts w:ascii="宋体"/>
          <w:szCs w:val="21"/>
        </w:rPr>
      </w:pPr>
      <w:r>
        <w:rPr>
          <w:rFonts w:hint="eastAsia" w:ascii="宋体"/>
          <w:szCs w:val="21"/>
        </w:rPr>
        <w:t>（2）资格响应文件</w:t>
      </w:r>
    </w:p>
    <w:p w14:paraId="1241592E">
      <w:pPr>
        <w:spacing w:before="60" w:beforeLines="25" w:after="60" w:afterLines="25"/>
        <w:ind w:firstLine="989" w:firstLineChars="471"/>
        <w:rPr>
          <w:rFonts w:ascii="宋体"/>
          <w:szCs w:val="21"/>
        </w:rPr>
      </w:pPr>
      <w:r>
        <w:rPr>
          <w:rFonts w:hint="eastAsia" w:ascii="宋体"/>
          <w:szCs w:val="21"/>
        </w:rPr>
        <w:t>（3）投标人情况介绍</w:t>
      </w:r>
    </w:p>
    <w:p w14:paraId="7D988432">
      <w:pPr>
        <w:spacing w:before="60" w:beforeLines="25" w:after="60" w:afterLines="25"/>
        <w:ind w:firstLine="989" w:firstLineChars="471"/>
        <w:rPr>
          <w:rFonts w:hint="eastAsia" w:ascii="宋体"/>
          <w:szCs w:val="21"/>
        </w:rPr>
      </w:pPr>
      <w:r>
        <w:rPr>
          <w:rFonts w:hint="eastAsia" w:ascii="宋体"/>
          <w:szCs w:val="21"/>
        </w:rPr>
        <w:t>（4）中小企业声明函等符合政府采购扶持政策的证明材料</w:t>
      </w:r>
    </w:p>
    <w:p w14:paraId="3B109C3B">
      <w:pPr>
        <w:spacing w:before="60" w:beforeLines="25" w:after="60" w:afterLines="25"/>
        <w:ind w:firstLine="989" w:firstLineChars="471"/>
        <w:rPr>
          <w:rFonts w:hint="eastAsia" w:ascii="宋体" w:eastAsia="宋体"/>
          <w:szCs w:val="21"/>
          <w:lang w:eastAsia="zh-CN"/>
        </w:rPr>
      </w:pPr>
      <w:r>
        <w:rPr>
          <w:rFonts w:hint="eastAsia" w:ascii="宋体" w:eastAsia="宋体" w:cs="仿宋"/>
          <w:szCs w:val="21"/>
          <w:lang w:eastAsia="zh-CN"/>
        </w:rPr>
        <w:t>（</w:t>
      </w:r>
      <w:r>
        <w:rPr>
          <w:rFonts w:hint="eastAsia" w:ascii="宋体" w:eastAsia="宋体" w:cs="仿宋"/>
          <w:szCs w:val="21"/>
          <w:lang w:val="en-US" w:eastAsia="zh-CN"/>
        </w:rPr>
        <w:t>5</w:t>
      </w:r>
      <w:r>
        <w:rPr>
          <w:rFonts w:hint="eastAsia" w:ascii="宋体" w:eastAsia="宋体" w:cs="仿宋"/>
          <w:szCs w:val="21"/>
          <w:lang w:eastAsia="zh-CN"/>
        </w:rPr>
        <w:t>）</w:t>
      </w:r>
      <w:r>
        <w:rPr>
          <w:rFonts w:hint="eastAsia" w:ascii="宋体" w:eastAsia="宋体"/>
          <w:szCs w:val="21"/>
          <w:lang w:eastAsia="zh-CN"/>
        </w:rPr>
        <w:t>企业资质证书</w:t>
      </w:r>
    </w:p>
    <w:p w14:paraId="1958D15F">
      <w:pPr>
        <w:spacing w:before="60" w:beforeLines="25" w:after="60" w:afterLines="25"/>
        <w:ind w:firstLine="989" w:firstLineChars="471"/>
        <w:rPr>
          <w:rFonts w:ascii="宋体"/>
          <w:sz w:val="24"/>
          <w:szCs w:val="24"/>
        </w:rPr>
      </w:pPr>
      <w:r>
        <w:rPr>
          <w:rFonts w:hint="eastAsia" w:ascii="宋体" w:eastAsia="宋体"/>
          <w:szCs w:val="21"/>
          <w:lang w:eastAsia="zh-CN"/>
        </w:rPr>
        <w:t>（</w:t>
      </w:r>
      <w:r>
        <w:rPr>
          <w:rFonts w:hint="eastAsia" w:ascii="宋体" w:eastAsia="宋体"/>
          <w:szCs w:val="21"/>
          <w:lang w:val="en-US" w:eastAsia="zh-CN"/>
        </w:rPr>
        <w:t>6</w:t>
      </w:r>
      <w:r>
        <w:rPr>
          <w:rFonts w:hint="eastAsia" w:ascii="宋体" w:eastAsia="宋体"/>
          <w:szCs w:val="21"/>
          <w:lang w:eastAsia="zh-CN"/>
        </w:rPr>
        <w:t>）</w:t>
      </w:r>
      <w:r>
        <w:rPr>
          <w:rFonts w:hint="eastAsia" w:ascii="宋体" w:eastAsia="宋体"/>
          <w:color w:val="000000"/>
          <w:szCs w:val="21"/>
        </w:rPr>
        <w:t>体系认证</w:t>
      </w:r>
    </w:p>
    <w:p w14:paraId="1A1CDAA6">
      <w:pPr>
        <w:ind w:firstLine="424" w:firstLineChars="202"/>
        <w:rPr>
          <w:rFonts w:ascii="宋体"/>
          <w:szCs w:val="21"/>
        </w:rPr>
      </w:pPr>
    </w:p>
    <w:p w14:paraId="211A22AF">
      <w:pPr>
        <w:ind w:firstLine="424" w:firstLineChars="202"/>
        <w:rPr>
          <w:rFonts w:ascii="宋体"/>
          <w:szCs w:val="21"/>
        </w:rPr>
      </w:pPr>
      <w:r>
        <w:rPr>
          <w:rFonts w:hint="eastAsia" w:ascii="宋体"/>
          <w:szCs w:val="21"/>
        </w:rPr>
        <w:t>2.</w:t>
      </w:r>
      <w:r>
        <w:rPr>
          <w:rFonts w:hint="eastAsia" w:ascii="宋体"/>
          <w:b/>
          <w:szCs w:val="21"/>
        </w:rPr>
        <w:t>投标文件附件（信息不公开部分）</w:t>
      </w:r>
      <w:r>
        <w:rPr>
          <w:rFonts w:hint="eastAsia" w:ascii="宋体"/>
          <w:szCs w:val="21"/>
        </w:rPr>
        <w:t>，主要包括以下内容：</w:t>
      </w:r>
    </w:p>
    <w:p w14:paraId="6A7A18F2">
      <w:pPr>
        <w:spacing w:before="60" w:beforeLines="25" w:after="60" w:afterLines="25"/>
        <w:ind w:firstLine="989" w:firstLineChars="471"/>
        <w:rPr>
          <w:rFonts w:ascii="宋体"/>
          <w:szCs w:val="21"/>
        </w:rPr>
      </w:pPr>
      <w:r>
        <w:rPr>
          <w:rFonts w:hint="eastAsia" w:ascii="宋体"/>
          <w:szCs w:val="21"/>
        </w:rPr>
        <w:t>（</w:t>
      </w:r>
      <w:r>
        <w:rPr>
          <w:rFonts w:hint="eastAsia" w:ascii="宋体"/>
          <w:szCs w:val="21"/>
          <w:lang w:val="en-US" w:eastAsia="zh-CN"/>
        </w:rPr>
        <w:t>7</w:t>
      </w:r>
      <w:r>
        <w:rPr>
          <w:rFonts w:hint="eastAsia" w:ascii="宋体"/>
          <w:szCs w:val="21"/>
        </w:rPr>
        <w:t>）政府采购违法行为风险知悉确认书</w:t>
      </w:r>
    </w:p>
    <w:p w14:paraId="7F219AED">
      <w:pPr>
        <w:spacing w:before="60" w:beforeLines="25" w:after="60" w:afterLines="25"/>
        <w:ind w:firstLine="989" w:firstLineChars="471"/>
        <w:rPr>
          <w:rFonts w:ascii="宋体"/>
          <w:szCs w:val="21"/>
        </w:rPr>
      </w:pPr>
      <w:r>
        <w:rPr>
          <w:rFonts w:hint="eastAsia" w:ascii="宋体"/>
          <w:szCs w:val="21"/>
        </w:rPr>
        <w:t>（</w:t>
      </w:r>
      <w:r>
        <w:rPr>
          <w:rFonts w:hint="eastAsia" w:ascii="宋体"/>
          <w:szCs w:val="21"/>
          <w:lang w:val="en-US" w:eastAsia="zh-CN"/>
        </w:rPr>
        <w:t>8</w:t>
      </w:r>
      <w:r>
        <w:rPr>
          <w:rFonts w:hint="eastAsia" w:ascii="宋体"/>
          <w:szCs w:val="21"/>
        </w:rPr>
        <w:t>）法定代表人（负责人）资格证明书</w:t>
      </w:r>
    </w:p>
    <w:p w14:paraId="6ED528E5">
      <w:pPr>
        <w:spacing w:before="60" w:beforeLines="25" w:after="60" w:afterLines="25"/>
        <w:ind w:firstLine="989" w:firstLineChars="471"/>
        <w:rPr>
          <w:rFonts w:ascii="宋体"/>
          <w:szCs w:val="21"/>
        </w:rPr>
      </w:pPr>
      <w:r>
        <w:rPr>
          <w:rFonts w:hint="eastAsia" w:ascii="宋体"/>
          <w:szCs w:val="21"/>
        </w:rPr>
        <w:t>（</w:t>
      </w:r>
      <w:r>
        <w:rPr>
          <w:rFonts w:hint="eastAsia" w:ascii="宋体"/>
          <w:szCs w:val="21"/>
          <w:lang w:val="en-US" w:eastAsia="zh-CN"/>
        </w:rPr>
        <w:t>9</w:t>
      </w:r>
      <w:r>
        <w:rPr>
          <w:rFonts w:hint="eastAsia" w:ascii="宋体"/>
          <w:szCs w:val="21"/>
        </w:rPr>
        <w:t>）投标文件签署授权委托书</w:t>
      </w:r>
    </w:p>
    <w:p w14:paraId="4DADB8C2">
      <w:pPr>
        <w:spacing w:before="60" w:beforeLines="25" w:after="60" w:afterLines="25"/>
        <w:ind w:firstLine="989" w:firstLineChars="471"/>
        <w:rPr>
          <w:rFonts w:ascii="宋体"/>
          <w:szCs w:val="21"/>
        </w:rPr>
      </w:pPr>
      <w:r>
        <w:rPr>
          <w:rFonts w:hint="eastAsia" w:ascii="宋体"/>
          <w:szCs w:val="21"/>
        </w:rPr>
        <w:t>（</w:t>
      </w:r>
      <w:r>
        <w:rPr>
          <w:rFonts w:hint="eastAsia" w:ascii="宋体"/>
          <w:szCs w:val="21"/>
          <w:lang w:val="en-US" w:eastAsia="zh-CN"/>
        </w:rPr>
        <w:t>10</w:t>
      </w:r>
      <w:r>
        <w:rPr>
          <w:rFonts w:hint="eastAsia" w:ascii="宋体"/>
          <w:szCs w:val="21"/>
        </w:rPr>
        <w:t>）实质性条款响应情况表</w:t>
      </w:r>
    </w:p>
    <w:p w14:paraId="744E6193">
      <w:pPr>
        <w:spacing w:before="60" w:beforeLines="25" w:after="60" w:afterLines="25"/>
        <w:ind w:firstLine="989" w:firstLineChars="471"/>
        <w:rPr>
          <w:rFonts w:ascii="宋体"/>
          <w:szCs w:val="21"/>
        </w:rPr>
      </w:pPr>
      <w:r>
        <w:rPr>
          <w:rFonts w:hint="eastAsia" w:ascii="宋体"/>
          <w:szCs w:val="21"/>
        </w:rPr>
        <w:t>（</w:t>
      </w:r>
      <w:r>
        <w:rPr>
          <w:rFonts w:hint="eastAsia" w:ascii="宋体"/>
          <w:szCs w:val="21"/>
          <w:lang w:val="en-US" w:eastAsia="zh-CN"/>
        </w:rPr>
        <w:t>11</w:t>
      </w:r>
      <w:r>
        <w:rPr>
          <w:rFonts w:hint="eastAsia" w:ascii="宋体"/>
          <w:szCs w:val="21"/>
        </w:rPr>
        <w:t>）分项报价表</w:t>
      </w:r>
    </w:p>
    <w:p w14:paraId="1DFF667E">
      <w:pPr>
        <w:spacing w:before="60" w:beforeLines="25" w:after="60" w:afterLines="25"/>
        <w:ind w:firstLine="989" w:firstLineChars="471"/>
        <w:rPr>
          <w:rFonts w:ascii="宋体"/>
          <w:szCs w:val="21"/>
        </w:rPr>
      </w:pPr>
      <w:r>
        <w:rPr>
          <w:rFonts w:hint="eastAsia" w:ascii="宋体"/>
          <w:szCs w:val="21"/>
        </w:rPr>
        <w:t>（</w:t>
      </w:r>
      <w:r>
        <w:rPr>
          <w:rFonts w:hint="eastAsia" w:ascii="宋体"/>
          <w:szCs w:val="21"/>
          <w:lang w:val="en-US" w:eastAsia="zh-CN"/>
        </w:rPr>
        <w:t>12</w:t>
      </w:r>
      <w:r>
        <w:rPr>
          <w:rFonts w:hint="eastAsia" w:ascii="宋体"/>
          <w:szCs w:val="21"/>
        </w:rPr>
        <w:t>）</w:t>
      </w:r>
      <w:r>
        <w:rPr>
          <w:rFonts w:ascii="宋体" w:eastAsia="宋体"/>
          <w:szCs w:val="21"/>
        </w:rPr>
        <w:t>技术规格偏离表</w:t>
      </w:r>
    </w:p>
    <w:p w14:paraId="48FAF42A">
      <w:pPr>
        <w:spacing w:before="60" w:beforeLines="25" w:after="60" w:afterLines="25"/>
        <w:ind w:firstLine="989" w:firstLineChars="471"/>
        <w:rPr>
          <w:rFonts w:ascii="宋体"/>
          <w:szCs w:val="21"/>
        </w:rPr>
      </w:pPr>
      <w:r>
        <w:rPr>
          <w:rFonts w:hint="eastAsia" w:ascii="宋体"/>
          <w:szCs w:val="21"/>
        </w:rPr>
        <w:t>（</w:t>
      </w:r>
      <w:r>
        <w:rPr>
          <w:rFonts w:hint="eastAsia" w:ascii="宋体"/>
          <w:szCs w:val="21"/>
          <w:lang w:val="en-US" w:eastAsia="zh-CN"/>
        </w:rPr>
        <w:t>13</w:t>
      </w:r>
      <w:r>
        <w:rPr>
          <w:rFonts w:hint="eastAsia" w:ascii="宋体"/>
          <w:szCs w:val="21"/>
        </w:rPr>
        <w:t>）</w:t>
      </w:r>
      <w:r>
        <w:rPr>
          <w:rFonts w:ascii="宋体" w:eastAsia="宋体"/>
          <w:szCs w:val="21"/>
        </w:rPr>
        <w:t>商务条款偏离表</w:t>
      </w:r>
    </w:p>
    <w:p w14:paraId="49D1AD20">
      <w:pPr>
        <w:spacing w:before="60" w:beforeLines="25" w:after="60" w:afterLines="25"/>
        <w:ind w:firstLine="989" w:firstLineChars="471"/>
        <w:rPr>
          <w:rFonts w:ascii="宋体" w:eastAsia="宋体"/>
          <w:szCs w:val="21"/>
        </w:rPr>
      </w:pPr>
      <w:r>
        <w:rPr>
          <w:rFonts w:hint="eastAsia" w:ascii="宋体"/>
          <w:szCs w:val="21"/>
        </w:rPr>
        <w:t>（1</w:t>
      </w:r>
      <w:r>
        <w:rPr>
          <w:rFonts w:hint="eastAsia" w:ascii="宋体"/>
          <w:szCs w:val="21"/>
          <w:lang w:val="en-US" w:eastAsia="zh-CN"/>
        </w:rPr>
        <w:t>4</w:t>
      </w:r>
      <w:r>
        <w:rPr>
          <w:rFonts w:hint="eastAsia" w:ascii="宋体"/>
          <w:szCs w:val="21"/>
        </w:rPr>
        <w:t>）</w:t>
      </w:r>
      <w:r>
        <w:rPr>
          <w:rFonts w:hint="eastAsia" w:ascii="宋体" w:eastAsia="宋体"/>
          <w:color w:val="auto"/>
          <w:szCs w:val="21"/>
        </w:rPr>
        <w:t>项目技术方案</w:t>
      </w:r>
    </w:p>
    <w:p w14:paraId="3B3BA6F8">
      <w:pPr>
        <w:spacing w:before="60" w:beforeLines="25" w:after="60" w:afterLines="25"/>
        <w:ind w:firstLine="989" w:firstLineChars="471"/>
        <w:rPr>
          <w:rFonts w:ascii="宋体" w:eastAsia="宋体"/>
          <w:szCs w:val="21"/>
        </w:rPr>
      </w:pPr>
      <w:r>
        <w:rPr>
          <w:rFonts w:hint="eastAsia" w:ascii="宋体"/>
          <w:szCs w:val="21"/>
        </w:rPr>
        <w:t>（1</w:t>
      </w:r>
      <w:r>
        <w:rPr>
          <w:rFonts w:hint="eastAsia" w:ascii="宋体"/>
          <w:szCs w:val="21"/>
          <w:lang w:val="en-US" w:eastAsia="zh-CN"/>
        </w:rPr>
        <w:t>5</w:t>
      </w:r>
      <w:r>
        <w:rPr>
          <w:rFonts w:hint="eastAsia" w:ascii="宋体"/>
          <w:szCs w:val="21"/>
        </w:rPr>
        <w:t>）</w:t>
      </w:r>
      <w:r>
        <w:rPr>
          <w:rFonts w:hint="eastAsia" w:ascii="宋体" w:eastAsia="宋体"/>
          <w:szCs w:val="21"/>
        </w:rPr>
        <w:t>项目实施方案</w:t>
      </w:r>
    </w:p>
    <w:p w14:paraId="3B50CEFA">
      <w:pPr>
        <w:spacing w:before="60" w:beforeLines="25" w:after="60" w:afterLines="25"/>
        <w:ind w:firstLine="989" w:firstLineChars="471"/>
        <w:rPr>
          <w:rFonts w:hint="eastAsia" w:ascii="宋体" w:eastAsia="宋体"/>
          <w:szCs w:val="21"/>
          <w:lang w:val="en-US" w:eastAsia="zh-CN"/>
        </w:rPr>
      </w:pPr>
      <w:r>
        <w:rPr>
          <w:rFonts w:hint="eastAsia" w:ascii="宋体"/>
          <w:szCs w:val="21"/>
        </w:rPr>
        <w:t>（1</w:t>
      </w:r>
      <w:r>
        <w:rPr>
          <w:rFonts w:hint="eastAsia" w:ascii="宋体"/>
          <w:szCs w:val="21"/>
          <w:lang w:val="en-US" w:eastAsia="zh-CN"/>
        </w:rPr>
        <w:t>6</w:t>
      </w:r>
      <w:r>
        <w:rPr>
          <w:rFonts w:hint="eastAsia" w:ascii="宋体"/>
          <w:szCs w:val="21"/>
        </w:rPr>
        <w:t>）</w:t>
      </w:r>
      <w:r>
        <w:rPr>
          <w:rFonts w:hint="eastAsia" w:ascii="宋体" w:eastAsia="宋体"/>
          <w:szCs w:val="21"/>
        </w:rPr>
        <w:t>拟投入设备</w:t>
      </w:r>
      <w:r>
        <w:rPr>
          <w:rFonts w:hint="eastAsia" w:ascii="宋体"/>
          <w:szCs w:val="21"/>
          <w:lang w:val="en-US" w:eastAsia="zh-CN"/>
        </w:rPr>
        <w:t>情况</w:t>
      </w:r>
    </w:p>
    <w:p w14:paraId="58E24A23">
      <w:pPr>
        <w:spacing w:before="60" w:beforeLines="25" w:after="60" w:afterLines="25"/>
        <w:ind w:firstLine="989" w:firstLineChars="471"/>
        <w:rPr>
          <w:rFonts w:ascii="宋体" w:eastAsia="宋体"/>
          <w:szCs w:val="21"/>
        </w:rPr>
      </w:pPr>
      <w:r>
        <w:rPr>
          <w:rFonts w:hint="eastAsia" w:ascii="宋体"/>
          <w:szCs w:val="21"/>
        </w:rPr>
        <w:t>（1</w:t>
      </w:r>
      <w:r>
        <w:rPr>
          <w:rFonts w:hint="eastAsia" w:ascii="宋体"/>
          <w:szCs w:val="21"/>
          <w:lang w:val="en-US" w:eastAsia="zh-CN"/>
        </w:rPr>
        <w:t>7</w:t>
      </w:r>
      <w:r>
        <w:rPr>
          <w:rFonts w:hint="eastAsia" w:ascii="宋体"/>
          <w:szCs w:val="21"/>
        </w:rPr>
        <w:t>）</w:t>
      </w:r>
      <w:r>
        <w:rPr>
          <w:rFonts w:hint="eastAsia" w:ascii="宋体" w:eastAsia="宋体"/>
          <w:color w:val="000000"/>
          <w:szCs w:val="21"/>
        </w:rPr>
        <w:t>售后服务方案</w:t>
      </w:r>
    </w:p>
    <w:p w14:paraId="63CAFA7F">
      <w:pPr>
        <w:spacing w:before="60" w:beforeLines="25" w:after="60" w:afterLines="25"/>
        <w:ind w:firstLine="989" w:firstLineChars="471"/>
        <w:rPr>
          <w:rFonts w:ascii="宋体" w:eastAsia="宋体"/>
          <w:szCs w:val="21"/>
        </w:rPr>
      </w:pPr>
      <w:r>
        <w:rPr>
          <w:rFonts w:hint="eastAsia" w:ascii="宋体"/>
          <w:szCs w:val="21"/>
        </w:rPr>
        <w:t>（1</w:t>
      </w:r>
      <w:r>
        <w:rPr>
          <w:rFonts w:hint="eastAsia" w:ascii="宋体"/>
          <w:szCs w:val="21"/>
          <w:lang w:val="en-US" w:eastAsia="zh-CN"/>
        </w:rPr>
        <w:t>8</w:t>
      </w:r>
      <w:r>
        <w:rPr>
          <w:rFonts w:hint="eastAsia" w:ascii="宋体"/>
          <w:szCs w:val="21"/>
        </w:rPr>
        <w:t>）</w:t>
      </w:r>
      <w:r>
        <w:rPr>
          <w:rFonts w:hint="eastAsia" w:ascii="宋体" w:eastAsia="宋体"/>
          <w:szCs w:val="21"/>
        </w:rPr>
        <w:t>类似业绩</w:t>
      </w:r>
    </w:p>
    <w:p w14:paraId="541B3C14">
      <w:pPr>
        <w:spacing w:before="60" w:beforeLines="25" w:after="60" w:afterLines="25"/>
        <w:ind w:firstLine="989" w:firstLineChars="471"/>
        <w:rPr>
          <w:rFonts w:hint="eastAsia" w:ascii="宋体"/>
          <w:szCs w:val="21"/>
        </w:rPr>
      </w:pPr>
      <w:r>
        <w:rPr>
          <w:rFonts w:hint="eastAsia" w:ascii="宋体"/>
          <w:szCs w:val="21"/>
        </w:rPr>
        <w:t>（</w:t>
      </w:r>
      <w:r>
        <w:rPr>
          <w:rFonts w:hint="eastAsia" w:ascii="宋体"/>
          <w:szCs w:val="21"/>
          <w:lang w:val="en-US" w:eastAsia="zh-CN"/>
        </w:rPr>
        <w:t>19</w:t>
      </w:r>
      <w:r>
        <w:rPr>
          <w:rFonts w:hint="eastAsia" w:ascii="宋体"/>
          <w:szCs w:val="21"/>
        </w:rPr>
        <w:t>）</w:t>
      </w:r>
      <w:r>
        <w:rPr>
          <w:rFonts w:hint="eastAsia" w:ascii="宋体" w:eastAsia="宋体"/>
          <w:szCs w:val="21"/>
        </w:rPr>
        <w:t>技术团队实力</w:t>
      </w:r>
    </w:p>
    <w:p w14:paraId="2EE73DE5">
      <w:pPr>
        <w:spacing w:before="60" w:beforeLines="25" w:after="60" w:afterLines="25"/>
        <w:ind w:firstLine="989" w:firstLineChars="471"/>
        <w:rPr>
          <w:rFonts w:hint="eastAsia" w:ascii="宋体"/>
          <w:szCs w:val="21"/>
        </w:rPr>
      </w:pPr>
      <w:r>
        <w:rPr>
          <w:rFonts w:hint="eastAsia" w:ascii="宋体"/>
          <w:szCs w:val="21"/>
        </w:rPr>
        <w:t>（</w:t>
      </w:r>
      <w:r>
        <w:rPr>
          <w:rFonts w:hint="eastAsia" w:ascii="宋体"/>
          <w:szCs w:val="21"/>
          <w:lang w:val="en-US" w:eastAsia="zh-CN"/>
        </w:rPr>
        <w:t>20</w:t>
      </w:r>
      <w:r>
        <w:rPr>
          <w:rFonts w:hint="eastAsia" w:ascii="宋体"/>
          <w:szCs w:val="21"/>
        </w:rPr>
        <w:t>）招标文件要求的其它内容或投标人认为需要补充的资料</w:t>
      </w:r>
    </w:p>
    <w:p w14:paraId="6B87AB30">
      <w:pPr>
        <w:widowControl/>
        <w:ind w:firstLine="487" w:firstLineChars="202"/>
        <w:jc w:val="left"/>
        <w:rPr>
          <w:rFonts w:hint="eastAsia" w:ascii="宋体" w:eastAsia="宋体"/>
          <w:b/>
          <w:kern w:val="0"/>
          <w:sz w:val="24"/>
          <w:szCs w:val="21"/>
        </w:rPr>
      </w:pPr>
    </w:p>
    <w:p w14:paraId="3938D962">
      <w:pPr>
        <w:widowControl/>
        <w:ind w:firstLine="487" w:firstLineChars="202"/>
        <w:jc w:val="left"/>
        <w:rPr>
          <w:rFonts w:ascii="宋体" w:eastAsia="宋体"/>
          <w:b/>
          <w:kern w:val="0"/>
          <w:sz w:val="24"/>
          <w:szCs w:val="21"/>
        </w:rPr>
      </w:pPr>
      <w:r>
        <w:rPr>
          <w:rFonts w:hint="eastAsia" w:ascii="宋体" w:eastAsia="宋体"/>
          <w:b/>
          <w:kern w:val="0"/>
          <w:sz w:val="24"/>
          <w:szCs w:val="21"/>
        </w:rPr>
        <w:t>备注：</w:t>
      </w:r>
    </w:p>
    <w:p w14:paraId="73290526">
      <w:pPr>
        <w:widowControl/>
        <w:ind w:firstLine="487" w:firstLineChars="202"/>
        <w:jc w:val="left"/>
        <w:rPr>
          <w:rFonts w:ascii="宋体" w:eastAsia="宋体"/>
          <w:b/>
          <w:kern w:val="0"/>
          <w:sz w:val="24"/>
          <w:szCs w:val="21"/>
        </w:rPr>
      </w:pPr>
      <w:r>
        <w:rPr>
          <w:rFonts w:hint="eastAsia" w:ascii="宋体" w:eastAsia="宋体"/>
          <w:b/>
          <w:kern w:val="0"/>
          <w:sz w:val="24"/>
          <w:szCs w:val="21"/>
        </w:rPr>
        <w:t>1.本项目为网上电子投标项目，投标文件不需法人或授权委托人另行签字，无需加盖单位公章，招标文件专用条款另有规定的除外。</w:t>
      </w:r>
    </w:p>
    <w:p w14:paraId="70E228C8">
      <w:pPr>
        <w:widowControl/>
        <w:ind w:firstLine="487" w:firstLineChars="202"/>
        <w:jc w:val="left"/>
        <w:rPr>
          <w:rFonts w:ascii="宋体" w:eastAsia="宋体"/>
          <w:b/>
          <w:kern w:val="0"/>
          <w:sz w:val="24"/>
          <w:szCs w:val="21"/>
        </w:rPr>
      </w:pPr>
      <w:r>
        <w:rPr>
          <w:rFonts w:hint="eastAsia" w:ascii="宋体" w:eastAsia="宋体"/>
          <w:b/>
          <w:kern w:val="0"/>
          <w:sz w:val="24"/>
          <w:szCs w:val="21"/>
        </w:rPr>
        <w:t>2.关于填写“开标一览表”的说明：“开标一览表”中除“投标报价”外，其他信息不作为评审依据。</w:t>
      </w:r>
    </w:p>
    <w:p w14:paraId="7BDA0FA2">
      <w:pPr>
        <w:rPr>
          <w:rFonts w:ascii="仿宋_GB2312" w:eastAsia="仿宋_GB2312"/>
          <w:b/>
          <w:color w:val="FF0000"/>
          <w:sz w:val="30"/>
          <w:szCs w:val="30"/>
        </w:rPr>
      </w:pPr>
    </w:p>
    <w:p w14:paraId="460936A5">
      <w:pPr>
        <w:widowControl/>
        <w:jc w:val="left"/>
        <w:rPr>
          <w:rFonts w:ascii="仿宋_GB2312" w:eastAsia="仿宋_GB2312"/>
          <w:b/>
          <w:color w:val="FF0000"/>
          <w:sz w:val="30"/>
          <w:szCs w:val="30"/>
        </w:rPr>
      </w:pPr>
      <w:r>
        <w:rPr>
          <w:rFonts w:ascii="仿宋_GB2312" w:eastAsia="仿宋_GB2312"/>
          <w:b/>
          <w:color w:val="FF0000"/>
          <w:sz w:val="30"/>
          <w:szCs w:val="30"/>
        </w:rPr>
        <w:br w:type="page"/>
      </w:r>
    </w:p>
    <w:p w14:paraId="281E66B2">
      <w:pPr>
        <w:pStyle w:val="3"/>
        <w:spacing w:before="120" w:after="120"/>
        <w:jc w:val="center"/>
        <w:rPr>
          <w:rFonts w:hint="eastAsia" w:ascii="宋体" w:eastAsia="宋体" w:cs="宋体"/>
          <w:bCs w:val="0"/>
          <w:sz w:val="28"/>
          <w:szCs w:val="28"/>
        </w:rPr>
      </w:pPr>
      <w:r>
        <w:rPr>
          <w:rFonts w:hint="eastAsia" w:ascii="宋体" w:eastAsia="宋体" w:cs="宋体"/>
          <w:bCs w:val="0"/>
          <w:sz w:val="28"/>
          <w:szCs w:val="28"/>
          <w:lang w:eastAsia="zh-CN"/>
        </w:rPr>
        <w:t>温馨提示</w:t>
      </w:r>
    </w:p>
    <w:p w14:paraId="20AF455D">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eastAsia="宋体"/>
        </w:rPr>
      </w:pPr>
    </w:p>
    <w:p w14:paraId="3C43EC76">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eastAsia="宋体" w:cs="宋体"/>
          <w:sz w:val="21"/>
          <w:szCs w:val="21"/>
          <w:lang w:eastAsia="zh-CN"/>
        </w:rPr>
      </w:pPr>
      <w:r>
        <w:rPr>
          <w:rFonts w:hint="eastAsia" w:ascii="宋体" w:eastAsia="宋体" w:cs="宋体"/>
          <w:sz w:val="21"/>
          <w:szCs w:val="21"/>
        </w:rPr>
        <w:t>1</w:t>
      </w:r>
      <w:r>
        <w:rPr>
          <w:rFonts w:hint="eastAsia" w:ascii="宋体" w:eastAsia="宋体" w:cs="宋体"/>
          <w:sz w:val="21"/>
          <w:szCs w:val="21"/>
          <w:lang w:eastAsia="zh-CN"/>
        </w:rPr>
        <w:t>、投标（响应）文件必须在提交投标（响应）文件截止时间前上传，并在规定时间内完成在线解密。为避免因系统拥堵影响文件上传或解密，导致失去投标（响应）资格，建议</w:t>
      </w:r>
      <w:r>
        <w:rPr>
          <w:rFonts w:hint="eastAsia" w:ascii="宋体" w:eastAsia="宋体" w:cs="宋体"/>
          <w:b/>
          <w:bCs/>
          <w:sz w:val="21"/>
          <w:szCs w:val="21"/>
          <w:u w:val="single"/>
          <w:lang w:eastAsia="zh-CN"/>
        </w:rPr>
        <w:t>适当提前上传文件，尽早登陆系统解密</w:t>
      </w:r>
      <w:r>
        <w:rPr>
          <w:rFonts w:hint="eastAsia" w:ascii="宋体" w:eastAsia="宋体" w:cs="宋体"/>
          <w:sz w:val="21"/>
          <w:szCs w:val="21"/>
          <w:highlight w:val="none"/>
        </w:rPr>
        <w:t>。</w:t>
      </w:r>
    </w:p>
    <w:p w14:paraId="62B6CF15">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eastAsia="宋体" w:cs="宋体"/>
          <w:sz w:val="21"/>
          <w:szCs w:val="21"/>
          <w:lang w:val="en-US" w:eastAsia="zh-CN"/>
        </w:rPr>
      </w:pPr>
      <w:r>
        <w:rPr>
          <w:rFonts w:hint="eastAsia" w:ascii="宋体" w:eastAsia="宋体" w:cs="宋体"/>
          <w:sz w:val="21"/>
          <w:szCs w:val="21"/>
          <w:lang w:val="en-US" w:eastAsia="zh-CN"/>
        </w:rPr>
        <w:t>2、分项报价表中的各子项单价金额×数量应等同于单项汇总金额，单项汇总金额的合计金额应等同于投标（响应）总价，并与开标一览表的投标报价相同。请仔细阅读采购文件中的投标（响应）报价要求，</w:t>
      </w:r>
      <w:r>
        <w:rPr>
          <w:rFonts w:hint="eastAsia" w:ascii="宋体" w:eastAsia="宋体" w:cs="宋体"/>
          <w:b/>
          <w:bCs/>
          <w:sz w:val="21"/>
          <w:szCs w:val="21"/>
          <w:u w:val="single"/>
          <w:lang w:val="en-US" w:eastAsia="zh-CN"/>
        </w:rPr>
        <w:t>严格按照报价要求进行报价响应</w:t>
      </w:r>
      <w:r>
        <w:rPr>
          <w:rFonts w:hint="eastAsia" w:ascii="宋体" w:eastAsia="宋体" w:cs="宋体"/>
          <w:sz w:val="21"/>
          <w:szCs w:val="21"/>
          <w:lang w:val="en-US" w:eastAsia="zh-CN"/>
        </w:rPr>
        <w:t>。</w:t>
      </w:r>
    </w:p>
    <w:p w14:paraId="3C748B37">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Style w:val="47"/>
          <w:rFonts w:hint="eastAsia" w:ascii="宋体" w:eastAsia="宋体" w:cs="宋体"/>
          <w:i w:val="0"/>
          <w:iCs w:val="0"/>
          <w:caps w:val="0"/>
          <w:smallCaps w:val="0"/>
          <w:color w:val="000000"/>
          <w:spacing w:val="0"/>
          <w:sz w:val="21"/>
          <w:szCs w:val="21"/>
          <w:u w:val="none"/>
          <w:shd w:val="clear" w:color="auto" w:fill="FFFFFF"/>
          <w:vertAlign w:val="baseline"/>
          <w:lang w:eastAsia="zh-CN"/>
        </w:rPr>
      </w:pPr>
      <w:r>
        <w:rPr>
          <w:rFonts w:hint="eastAsia" w:ascii="宋体" w:eastAsia="宋体" w:cs="宋体"/>
          <w:sz w:val="21"/>
          <w:szCs w:val="21"/>
          <w:lang w:val="en-US" w:eastAsia="zh-CN"/>
        </w:rPr>
        <w:t>3、投标（响应）文件中的投标函、承诺函、声明函（含《中小企业声明函》、《关于符合本国产品标准的声明函》等）应按要求填写完整、规范。请仔细检查</w:t>
      </w:r>
      <w:r>
        <w:rPr>
          <w:rFonts w:hint="eastAsia" w:ascii="宋体" w:eastAsia="宋体" w:cs="宋体"/>
          <w:b/>
          <w:bCs/>
          <w:sz w:val="21"/>
          <w:szCs w:val="21"/>
          <w:u w:val="single"/>
          <w:lang w:val="en-US" w:eastAsia="zh-CN"/>
        </w:rPr>
        <w:t>标的名称、所属行业等填写是否符合采购文件要求，从业人员、营业收入、资产总额、产品名称、</w:t>
      </w:r>
      <w:r>
        <w:rPr>
          <w:rFonts w:hint="eastAsia" w:ascii="宋体" w:eastAsia="宋体" w:cs="宋体"/>
          <w:b/>
          <w:bCs/>
          <w:i w:val="0"/>
          <w:iCs w:val="0"/>
          <w:caps w:val="0"/>
          <w:smallCaps w:val="0"/>
          <w:color w:val="000000"/>
          <w:spacing w:val="0"/>
          <w:sz w:val="21"/>
          <w:szCs w:val="21"/>
          <w:u w:val="single"/>
          <w:shd w:val="clear" w:color="auto" w:fill="FFFFFF"/>
          <w:vertAlign w:val="baseline"/>
        </w:rPr>
        <w:t>生产厂</w:t>
      </w:r>
      <w:r>
        <w:rPr>
          <w:rFonts w:hint="eastAsia" w:ascii="宋体" w:eastAsia="宋体" w:cs="宋体"/>
          <w:b/>
          <w:bCs/>
          <w:i w:val="0"/>
          <w:iCs w:val="0"/>
          <w:caps w:val="0"/>
          <w:smallCaps w:val="0"/>
          <w:color w:val="000000"/>
          <w:spacing w:val="0"/>
          <w:sz w:val="21"/>
          <w:szCs w:val="21"/>
          <w:u w:val="single"/>
          <w:shd w:val="clear" w:color="auto" w:fill="FFFFFF"/>
          <w:vertAlign w:val="baseline"/>
          <w:lang w:eastAsia="zh-CN"/>
        </w:rPr>
        <w:t>名、</w:t>
      </w:r>
      <w:r>
        <w:rPr>
          <w:rStyle w:val="47"/>
          <w:rFonts w:hint="eastAsia" w:ascii="宋体" w:eastAsia="宋体" w:cs="宋体"/>
          <w:b/>
          <w:bCs/>
          <w:i w:val="0"/>
          <w:iCs w:val="0"/>
          <w:caps w:val="0"/>
          <w:smallCaps w:val="0"/>
          <w:color w:val="000000"/>
          <w:spacing w:val="0"/>
          <w:sz w:val="21"/>
          <w:szCs w:val="21"/>
          <w:u w:val="single"/>
          <w:shd w:val="clear" w:color="auto" w:fill="FFFFFF"/>
          <w:vertAlign w:val="baseline"/>
        </w:rPr>
        <w:t>生产厂址</w:t>
      </w:r>
      <w:r>
        <w:rPr>
          <w:rStyle w:val="47"/>
          <w:rFonts w:hint="eastAsia" w:ascii="宋体" w:eastAsia="宋体" w:cs="宋体"/>
          <w:b/>
          <w:bCs/>
          <w:i w:val="0"/>
          <w:iCs w:val="0"/>
          <w:caps w:val="0"/>
          <w:smallCaps w:val="0"/>
          <w:color w:val="000000"/>
          <w:spacing w:val="0"/>
          <w:sz w:val="21"/>
          <w:szCs w:val="21"/>
          <w:u w:val="single"/>
          <w:shd w:val="clear" w:color="auto" w:fill="FFFFFF"/>
          <w:vertAlign w:val="baseline"/>
          <w:lang w:eastAsia="zh-CN"/>
        </w:rPr>
        <w:t>、成本占比等填写是否与实际相符，</w:t>
      </w:r>
      <w:r>
        <w:rPr>
          <w:rFonts w:hint="eastAsia" w:ascii="宋体" w:eastAsia="宋体" w:cs="宋体"/>
          <w:b/>
          <w:bCs/>
          <w:sz w:val="21"/>
          <w:szCs w:val="21"/>
          <w:u w:val="single"/>
          <w:lang w:val="en-US" w:eastAsia="zh-CN"/>
        </w:rPr>
        <w:t>中小微企业类型的选择是否符合相关行业划分标准</w:t>
      </w:r>
      <w:r>
        <w:rPr>
          <w:rStyle w:val="47"/>
          <w:rFonts w:hint="eastAsia" w:ascii="宋体" w:eastAsia="宋体" w:cs="宋体"/>
          <w:i w:val="0"/>
          <w:iCs w:val="0"/>
          <w:caps w:val="0"/>
          <w:smallCaps w:val="0"/>
          <w:color w:val="000000"/>
          <w:spacing w:val="0"/>
          <w:sz w:val="21"/>
          <w:szCs w:val="21"/>
          <w:u w:val="none"/>
          <w:shd w:val="clear" w:color="auto" w:fill="FFFFFF"/>
          <w:vertAlign w:val="baseline"/>
          <w:lang w:eastAsia="zh-CN"/>
        </w:rPr>
        <w:t>。</w:t>
      </w:r>
    </w:p>
    <w:p w14:paraId="4465F9B1">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Style w:val="47"/>
          <w:rFonts w:hint="eastAsia" w:ascii="宋体" w:eastAsia="宋体" w:cs="宋体"/>
          <w:b w:val="0"/>
          <w:bCs w:val="0"/>
          <w:i w:val="0"/>
          <w:iCs w:val="0"/>
          <w:caps w:val="0"/>
          <w:smallCaps w:val="0"/>
          <w:color w:val="000000"/>
          <w:spacing w:val="0"/>
          <w:sz w:val="21"/>
          <w:szCs w:val="21"/>
          <w:u w:val="none"/>
          <w:shd w:val="clear" w:color="auto" w:fill="FFFFFF"/>
          <w:vertAlign w:val="baseline"/>
          <w:lang w:val="en-US" w:eastAsia="zh-CN"/>
        </w:rPr>
      </w:pPr>
      <w:r>
        <w:rPr>
          <w:rStyle w:val="47"/>
          <w:rFonts w:hint="eastAsia" w:ascii="宋体" w:eastAsia="宋体" w:cs="宋体"/>
          <w:b w:val="0"/>
          <w:bCs w:val="0"/>
          <w:i w:val="0"/>
          <w:iCs w:val="0"/>
          <w:caps w:val="0"/>
          <w:smallCaps w:val="0"/>
          <w:color w:val="000000"/>
          <w:spacing w:val="0"/>
          <w:sz w:val="21"/>
          <w:szCs w:val="21"/>
          <w:u w:val="none"/>
          <w:shd w:val="clear" w:color="auto" w:fill="FFFFFF"/>
          <w:vertAlign w:val="baseline"/>
          <w:lang w:val="en-US" w:eastAsia="zh-CN"/>
        </w:rPr>
        <w:t>4、请仔细阅读采购文件中关于</w:t>
      </w:r>
      <w:r>
        <w:rPr>
          <w:rStyle w:val="47"/>
          <w:rFonts w:hint="eastAsia" w:ascii="宋体" w:eastAsia="宋体" w:cs="宋体"/>
          <w:b/>
          <w:bCs/>
          <w:i w:val="0"/>
          <w:iCs w:val="0"/>
          <w:caps w:val="0"/>
          <w:smallCaps w:val="0"/>
          <w:color w:val="000000"/>
          <w:spacing w:val="0"/>
          <w:sz w:val="21"/>
          <w:szCs w:val="21"/>
          <w:u w:val="single"/>
          <w:shd w:val="clear" w:color="auto" w:fill="FFFFFF"/>
          <w:vertAlign w:val="baseline"/>
          <w:lang w:val="en-US" w:eastAsia="zh-CN"/>
        </w:rPr>
        <w:t>资格性、符合性审查条款</w:t>
      </w:r>
      <w:r>
        <w:rPr>
          <w:rStyle w:val="47"/>
          <w:rFonts w:hint="eastAsia" w:ascii="宋体" w:eastAsia="宋体" w:cs="宋体"/>
          <w:b w:val="0"/>
          <w:bCs w:val="0"/>
          <w:i w:val="0"/>
          <w:iCs w:val="0"/>
          <w:caps w:val="0"/>
          <w:smallCaps w:val="0"/>
          <w:color w:val="000000"/>
          <w:spacing w:val="0"/>
          <w:sz w:val="21"/>
          <w:szCs w:val="21"/>
          <w:u w:val="none"/>
          <w:shd w:val="clear" w:color="auto"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647CF042">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eastAsia="宋体" w:cs="宋体"/>
          <w:b w:val="0"/>
          <w:bCs w:val="0"/>
          <w:sz w:val="21"/>
          <w:szCs w:val="21"/>
          <w:lang w:eastAsia="zh-CN"/>
        </w:rPr>
      </w:pPr>
      <w:r>
        <w:rPr>
          <w:rStyle w:val="47"/>
          <w:rFonts w:hint="eastAsia" w:ascii="宋体" w:eastAsia="宋体" w:cs="宋体"/>
          <w:b w:val="0"/>
          <w:bCs w:val="0"/>
          <w:i w:val="0"/>
          <w:iCs w:val="0"/>
          <w:caps w:val="0"/>
          <w:smallCaps w:val="0"/>
          <w:color w:val="000000"/>
          <w:spacing w:val="0"/>
          <w:sz w:val="21"/>
          <w:szCs w:val="21"/>
          <w:u w:val="none"/>
          <w:shd w:val="clear" w:color="auto" w:fill="FFFFFF"/>
          <w:vertAlign w:val="baseline"/>
          <w:lang w:val="en-US" w:eastAsia="zh-CN"/>
        </w:rPr>
        <w:t>5、请如实填写《供应商基本情况表》中的人员情况和关联关系情况，并按要求（如有）提供社保、股权或管理关系证明材料</w:t>
      </w:r>
      <w:r>
        <w:rPr>
          <w:rFonts w:hint="eastAsia" w:ascii="宋体" w:eastAsia="宋体" w:cs="宋体"/>
          <w:b w:val="0"/>
          <w:bCs w:val="0"/>
          <w:sz w:val="21"/>
          <w:szCs w:val="21"/>
          <w:lang w:eastAsia="zh-CN"/>
        </w:rPr>
        <w:t>，无法提供社保证明的，应按要求提供情况说明。</w:t>
      </w:r>
      <w:r>
        <w:rPr>
          <w:rStyle w:val="47"/>
          <w:rFonts w:hint="eastAsia" w:ascii="宋体" w:eastAsia="宋体" w:cs="宋体"/>
          <w:b/>
          <w:bCs/>
          <w:i w:val="0"/>
          <w:iCs w:val="0"/>
          <w:caps w:val="0"/>
          <w:smallCaps w:val="0"/>
          <w:color w:val="000000"/>
          <w:spacing w:val="0"/>
          <w:sz w:val="21"/>
          <w:szCs w:val="21"/>
          <w:u w:val="single"/>
          <w:shd w:val="clear" w:color="auto" w:fill="FFFFFF"/>
          <w:vertAlign w:val="baseline"/>
          <w:lang w:val="en-US" w:eastAsia="zh-CN"/>
        </w:rPr>
        <w:t>《供应商基本情况表》中填写的</w:t>
      </w:r>
      <w:r>
        <w:rPr>
          <w:rFonts w:hint="eastAsia" w:ascii="宋体" w:eastAsia="宋体" w:cs="宋体"/>
          <w:b/>
          <w:bCs/>
          <w:sz w:val="21"/>
          <w:szCs w:val="21"/>
          <w:u w:val="single"/>
          <w:lang w:eastAsia="zh-CN"/>
        </w:rPr>
        <w:t>人员和关联关系情况应与证明材料相符</w:t>
      </w:r>
      <w:r>
        <w:rPr>
          <w:rFonts w:hint="eastAsia" w:ascii="宋体" w:eastAsia="宋体" w:cs="宋体"/>
          <w:b w:val="0"/>
          <w:bCs w:val="0"/>
          <w:sz w:val="21"/>
          <w:szCs w:val="21"/>
          <w:lang w:eastAsia="zh-CN"/>
        </w:rPr>
        <w:t>。</w:t>
      </w:r>
    </w:p>
    <w:p w14:paraId="414B9A17">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eastAsia="宋体" w:cs="宋体"/>
          <w:snapToGrid w:val="0"/>
          <w:kern w:val="0"/>
          <w:sz w:val="21"/>
          <w:szCs w:val="21"/>
          <w:lang w:eastAsia="zh-CN"/>
        </w:rPr>
      </w:pPr>
      <w:r>
        <w:rPr>
          <w:rFonts w:hint="eastAsia" w:ascii="宋体" w:eastAsia="宋体" w:cs="宋体"/>
          <w:b w:val="0"/>
          <w:bCs w:val="0"/>
          <w:sz w:val="21"/>
          <w:szCs w:val="21"/>
          <w:lang w:val="en-US" w:eastAsia="zh-CN"/>
        </w:rPr>
        <w:t>6、</w:t>
      </w:r>
      <w:r>
        <w:rPr>
          <w:rFonts w:hint="eastAsia" w:ascii="宋体" w:eastAsia="宋体" w:cs="宋体"/>
          <w:snapToGrid w:val="0"/>
          <w:kern w:val="0"/>
          <w:sz w:val="21"/>
          <w:szCs w:val="21"/>
          <w:lang w:eastAsia="zh-CN"/>
        </w:rPr>
        <w:t>属于</w:t>
      </w:r>
      <w:r>
        <w:rPr>
          <w:rFonts w:hint="eastAsia" w:ascii="宋体" w:eastAsia="宋体" w:cs="宋体"/>
          <w:b/>
          <w:bCs/>
          <w:snapToGrid w:val="0"/>
          <w:kern w:val="0"/>
          <w:sz w:val="21"/>
          <w:szCs w:val="21"/>
          <w:u w:val="single"/>
          <w:lang w:eastAsia="zh-CN"/>
        </w:rPr>
        <w:t>异常低价</w:t>
      </w:r>
      <w:r>
        <w:rPr>
          <w:rFonts w:hint="eastAsia" w:ascii="宋体" w:eastAsia="宋体" w:cs="宋体"/>
          <w:b/>
          <w:bCs/>
          <w:snapToGrid w:val="0"/>
          <w:kern w:val="0"/>
          <w:sz w:val="21"/>
          <w:szCs w:val="21"/>
          <w:u w:val="single"/>
        </w:rPr>
        <w:t>审查</w:t>
      </w:r>
      <w:r>
        <w:rPr>
          <w:rFonts w:hint="eastAsia" w:ascii="宋体" w:eastAsia="宋体" w:cs="宋体"/>
          <w:b/>
          <w:bCs/>
          <w:snapToGrid w:val="0"/>
          <w:kern w:val="0"/>
          <w:sz w:val="21"/>
          <w:szCs w:val="21"/>
          <w:u w:val="single"/>
          <w:lang w:eastAsia="zh-CN"/>
        </w:rPr>
        <w:t>第3项情形</w:t>
      </w:r>
      <w:r>
        <w:rPr>
          <w:rFonts w:hint="eastAsia" w:ascii="宋体" w:eastAsia="宋体" w:cs="宋体"/>
          <w:snapToGrid w:val="0"/>
          <w:kern w:val="0"/>
          <w:sz w:val="21"/>
          <w:szCs w:val="21"/>
          <w:lang w:eastAsia="zh-CN"/>
        </w:rPr>
        <w:t>的，建议随投标（响应）文件一并提交报价相关书面说明及必要的证明材料。</w:t>
      </w:r>
    </w:p>
    <w:p w14:paraId="2EF72C9E">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eastAsia="宋体" w:cs="宋体"/>
          <w:snapToGrid w:val="0"/>
          <w:kern w:val="0"/>
          <w:sz w:val="21"/>
          <w:szCs w:val="21"/>
          <w:lang w:val="en-US" w:eastAsia="zh-CN"/>
        </w:rPr>
      </w:pPr>
    </w:p>
    <w:p w14:paraId="57C8F878">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eastAsia="宋体" w:cs="宋体"/>
          <w:b w:val="0"/>
          <w:bCs w:val="0"/>
          <w:sz w:val="21"/>
          <w:szCs w:val="21"/>
          <w:lang w:val="en-US" w:eastAsia="zh-CN"/>
        </w:rPr>
      </w:pPr>
      <w:r>
        <w:rPr>
          <w:rFonts w:hint="eastAsia" w:ascii="宋体" w:eastAsia="宋体" w:cs="宋体"/>
          <w:b w:val="0"/>
          <w:bCs w:val="0"/>
          <w:sz w:val="21"/>
          <w:szCs w:val="21"/>
          <w:lang w:val="en-US" w:eastAsia="zh-CN"/>
        </w:rPr>
        <w:t>（以上提示内容为编制投标/响应文件的常规提醒，如与采购文件具体要求存在不一致或矛盾之处，以采购文件具体要求为准。）</w:t>
      </w:r>
    </w:p>
    <w:p w14:paraId="3A9CBD5A">
      <w:pPr>
        <w:rPr>
          <w:rFonts w:hint="eastAsia" w:ascii="仿宋_GB2312" w:eastAsia="仿宋_GB2312"/>
          <w:b/>
          <w:color w:val="FF0000"/>
          <w:sz w:val="30"/>
          <w:szCs w:val="30"/>
        </w:rPr>
      </w:pPr>
      <w:r>
        <w:rPr>
          <w:rFonts w:hint="eastAsia" w:ascii="仿宋_GB2312" w:eastAsia="仿宋_GB2312"/>
          <w:b/>
          <w:color w:val="FF0000"/>
          <w:sz w:val="30"/>
          <w:szCs w:val="30"/>
        </w:rPr>
        <w:br w:type="page"/>
      </w:r>
    </w:p>
    <w:p w14:paraId="6D42FC30">
      <w:pPr>
        <w:rPr>
          <w:rFonts w:ascii="仿宋_GB2312" w:eastAsia="仿宋_GB2312"/>
          <w:b/>
          <w:color w:val="FF0000"/>
          <w:sz w:val="30"/>
          <w:szCs w:val="30"/>
        </w:rPr>
      </w:pPr>
      <w:r>
        <w:rPr>
          <w:rFonts w:hint="eastAsia" w:ascii="仿宋_GB2312" w:eastAsia="仿宋_GB2312"/>
          <w:b/>
          <w:color w:val="FF0000"/>
          <w:sz w:val="30"/>
          <w:szCs w:val="30"/>
        </w:rPr>
        <w:t>投标文件正文（信息公开部分）：</w:t>
      </w:r>
    </w:p>
    <w:p w14:paraId="68308144">
      <w:pPr>
        <w:rPr>
          <w:rFonts w:ascii="仿宋_GB2312" w:eastAsia="仿宋_GB2312"/>
          <w:b/>
          <w:sz w:val="30"/>
          <w:szCs w:val="30"/>
        </w:rPr>
      </w:pPr>
    </w:p>
    <w:p w14:paraId="1ACAA98E">
      <w:pPr>
        <w:pStyle w:val="3"/>
        <w:jc w:val="center"/>
        <w:rPr>
          <w:rFonts w:ascii="黑体" w:eastAsia="黑体"/>
          <w:b w:val="0"/>
          <w:sz w:val="24"/>
        </w:rPr>
      </w:pPr>
      <w:r>
        <w:rPr>
          <w:rFonts w:hint="eastAsia" w:ascii="黑体" w:eastAsia="黑体"/>
          <w:b w:val="0"/>
          <w:sz w:val="24"/>
        </w:rPr>
        <w:t>一、投标函</w:t>
      </w:r>
    </w:p>
    <w:p w14:paraId="36B87FE8">
      <w:pPr>
        <w:spacing w:line="360" w:lineRule="auto"/>
        <w:rPr>
          <w:rFonts w:ascii="宋体"/>
          <w:szCs w:val="21"/>
        </w:rPr>
      </w:pPr>
      <w:r>
        <w:rPr>
          <w:rFonts w:hint="eastAsia" w:ascii="宋体"/>
          <w:szCs w:val="21"/>
        </w:rPr>
        <w:t xml:space="preserve">深圳市中正招标有限公司：  </w:t>
      </w:r>
    </w:p>
    <w:p w14:paraId="1658FF29">
      <w:pPr>
        <w:spacing w:after="120" w:afterLines="50"/>
        <w:ind w:firstLine="420" w:firstLineChars="200"/>
        <w:rPr>
          <w:szCs w:val="21"/>
        </w:rPr>
      </w:pPr>
      <w:r>
        <w:rPr>
          <w:rFonts w:hint="eastAsia"/>
          <w:szCs w:val="21"/>
        </w:rPr>
        <w:t>1.根据已收到贵方的</w:t>
      </w:r>
      <w:r>
        <w:rPr>
          <w:rFonts w:hint="eastAsia"/>
          <w:kern w:val="0"/>
          <w:szCs w:val="21"/>
        </w:rPr>
        <w:t>（项目编号为</w:t>
      </w:r>
      <w:r>
        <w:rPr>
          <w:kern w:val="0"/>
          <w:szCs w:val="21"/>
          <w:u w:val="single"/>
        </w:rPr>
        <w:t xml:space="preserve">                   </w:t>
      </w:r>
      <w:r>
        <w:rPr>
          <w:rFonts w:hint="eastAsia"/>
          <w:kern w:val="0"/>
          <w:szCs w:val="21"/>
        </w:rPr>
        <w:t>）的（</w:t>
      </w:r>
      <w:r>
        <w:rPr>
          <w:kern w:val="0"/>
          <w:szCs w:val="21"/>
          <w:u w:val="single"/>
        </w:rPr>
        <w:t xml:space="preserve">                   </w:t>
      </w:r>
      <w:r>
        <w:rPr>
          <w:rFonts w:hint="eastAsia"/>
          <w:kern w:val="0"/>
          <w:szCs w:val="21"/>
        </w:rPr>
        <w:t>项目）</w:t>
      </w:r>
      <w:r>
        <w:rPr>
          <w:rFonts w:hint="eastAsia"/>
          <w:szCs w:val="21"/>
        </w:rPr>
        <w:t>的招标文件，遵照《深圳经济特区政府采购条例》和《深圳网上政府采购管理暂行办法》等有关规定，我方经研究上述招标文件的专用条款及通用条款后，愿以投标书编制软件中《开标一览表》中填写的投标报价并按招标文件要求承包上述项目并修补其任何缺陷。</w:t>
      </w:r>
    </w:p>
    <w:p w14:paraId="78262AF9">
      <w:pPr>
        <w:spacing w:after="120" w:afterLines="50"/>
        <w:ind w:firstLine="420" w:firstLineChars="20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2EF1F1C2">
      <w:pPr>
        <w:spacing w:after="120" w:afterLines="50"/>
        <w:ind w:firstLine="411" w:firstLineChars="196"/>
        <w:rPr>
          <w:rFonts w:ascii="宋体"/>
          <w:szCs w:val="21"/>
        </w:rPr>
      </w:pPr>
      <w:r>
        <w:rPr>
          <w:rFonts w:hint="eastAsia" w:ascii="宋体"/>
          <w:szCs w:val="21"/>
        </w:rPr>
        <w:t>3.我方同意所递交的投标文件在“对通用条款的补充内容”中的投标有效期内有效，在此期间内我方的投标有可能中标，我方将受此约束。</w:t>
      </w:r>
    </w:p>
    <w:p w14:paraId="580CFDE4">
      <w:pPr>
        <w:spacing w:after="120" w:afterLines="50"/>
        <w:ind w:firstLine="411" w:firstLineChars="196"/>
        <w:rPr>
          <w:rFonts w:ascii="宋体"/>
          <w:szCs w:val="21"/>
        </w:rPr>
      </w:pPr>
      <w:r>
        <w:rPr>
          <w:rFonts w:hint="eastAsia" w:ascii="宋体"/>
          <w:szCs w:val="21"/>
        </w:rPr>
        <w:t>4.除非另外达成协议并生效，贵方的中标通知书和本投标文件将构成约束我们双方的合同。</w:t>
      </w:r>
    </w:p>
    <w:p w14:paraId="5FC08D11">
      <w:pPr>
        <w:spacing w:after="120" w:afterLines="50"/>
        <w:ind w:firstLine="411" w:firstLineChars="196"/>
        <w:rPr>
          <w:rFonts w:ascii="宋体"/>
          <w:szCs w:val="21"/>
        </w:rPr>
      </w:pPr>
      <w:r>
        <w:rPr>
          <w:rFonts w:hint="eastAsia" w:ascii="宋体"/>
          <w:szCs w:val="21"/>
        </w:rPr>
        <w:t>5.我方理解贵方将不受必须接受你们所收到的最低标价或其它任何投标文件的约束。</w:t>
      </w:r>
    </w:p>
    <w:p w14:paraId="6722405A">
      <w:pPr>
        <w:spacing w:after="120" w:afterLines="50"/>
        <w:ind w:firstLine="411" w:firstLineChars="196"/>
        <w:rPr>
          <w:rFonts w:ascii="宋体"/>
          <w:szCs w:val="21"/>
        </w:rPr>
      </w:pPr>
      <w:r>
        <w:rPr>
          <w:rFonts w:hint="eastAsia" w:ascii="宋体"/>
          <w:szCs w:val="21"/>
        </w:rPr>
        <w:t>6.</w:t>
      </w:r>
      <w:r>
        <w:rPr>
          <w:rFonts w:hint="eastAsia" w:ascii="宋体" w:eastAsia="宋体"/>
        </w:rPr>
        <w:t>我单位承诺在收到代理服务费缴费通知后7个工作日内领取中标（成交）通知书，逾期将视为我单位放弃中标（成交）资格。</w:t>
      </w:r>
    </w:p>
    <w:p w14:paraId="4502E8BD">
      <w:pPr>
        <w:ind w:left="540" w:leftChars="257"/>
        <w:rPr>
          <w:szCs w:val="21"/>
        </w:rPr>
      </w:pPr>
    </w:p>
    <w:p w14:paraId="4DF2E885">
      <w:pPr>
        <w:ind w:left="540" w:leftChars="257"/>
        <w:rPr>
          <w:szCs w:val="21"/>
          <w:u w:val="single"/>
        </w:rPr>
      </w:pPr>
      <w:r>
        <w:rPr>
          <w:rFonts w:hint="eastAsia"/>
          <w:szCs w:val="21"/>
        </w:rPr>
        <w:t>投标人：</w:t>
      </w:r>
      <w:r>
        <w:rPr>
          <w:rFonts w:hint="eastAsia"/>
          <w:szCs w:val="21"/>
          <w:u w:val="single"/>
        </w:rPr>
        <w:t xml:space="preserve">                   </w:t>
      </w:r>
      <w:r>
        <w:rPr>
          <w:rFonts w:hint="eastAsia"/>
          <w:szCs w:val="21"/>
        </w:rPr>
        <w:t xml:space="preserve">    单位地址：</w:t>
      </w:r>
      <w:r>
        <w:rPr>
          <w:rFonts w:hint="eastAsia"/>
          <w:szCs w:val="21"/>
          <w:u w:val="single"/>
        </w:rPr>
        <w:t xml:space="preserve">               </w:t>
      </w:r>
    </w:p>
    <w:p w14:paraId="10018CE1">
      <w:pPr>
        <w:ind w:left="540" w:leftChars="257"/>
        <w:rPr>
          <w:szCs w:val="21"/>
          <w:u w:val="single"/>
        </w:rPr>
      </w:pPr>
      <w:r>
        <w:rPr>
          <w:rFonts w:hint="eastAsia"/>
          <w:szCs w:val="21"/>
        </w:rPr>
        <w:t>法定代表人或其委托代理人：</w:t>
      </w:r>
      <w:r>
        <w:rPr>
          <w:rFonts w:hint="eastAsia"/>
          <w:szCs w:val="21"/>
          <w:u w:val="single"/>
        </w:rPr>
        <w:t xml:space="preserve">                   </w:t>
      </w:r>
    </w:p>
    <w:p w14:paraId="5FC130DE">
      <w:pPr>
        <w:ind w:left="540" w:leftChars="257"/>
        <w:rPr>
          <w:szCs w:val="21"/>
          <w:u w:val="single"/>
        </w:rPr>
      </w:pPr>
      <w:r>
        <w:rPr>
          <w:rFonts w:hint="eastAsia"/>
          <w:szCs w:val="21"/>
        </w:rPr>
        <w:t>邮政编码：</w:t>
      </w:r>
      <w:r>
        <w:rPr>
          <w:rFonts w:hint="eastAsia"/>
          <w:szCs w:val="21"/>
          <w:u w:val="single"/>
        </w:rPr>
        <w:t xml:space="preserve">          </w:t>
      </w:r>
      <w:r>
        <w:rPr>
          <w:rFonts w:hint="eastAsia"/>
          <w:szCs w:val="21"/>
        </w:rPr>
        <w:t xml:space="preserve">  电话：</w:t>
      </w:r>
      <w:r>
        <w:rPr>
          <w:rFonts w:hint="eastAsia"/>
          <w:szCs w:val="21"/>
          <w:u w:val="single"/>
        </w:rPr>
        <w:t xml:space="preserve">          </w:t>
      </w:r>
      <w:r>
        <w:rPr>
          <w:rFonts w:hint="eastAsia"/>
          <w:szCs w:val="21"/>
        </w:rPr>
        <w:t xml:space="preserve">  传真：</w:t>
      </w:r>
      <w:r>
        <w:rPr>
          <w:rFonts w:hint="eastAsia"/>
          <w:szCs w:val="21"/>
          <w:u w:val="single"/>
        </w:rPr>
        <w:t xml:space="preserve">            </w:t>
      </w:r>
    </w:p>
    <w:p w14:paraId="37060EAA">
      <w:pPr>
        <w:ind w:left="540" w:leftChars="257"/>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02E83C9E">
      <w:pPr>
        <w:ind w:left="540" w:leftChars="257"/>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39661DAF">
      <w:pPr>
        <w:ind w:firstLine="539" w:firstLineChars="257"/>
        <w:rPr>
          <w:sz w:val="24"/>
        </w:rPr>
      </w:pPr>
      <w:r>
        <w:rPr>
          <w:rFonts w:hint="eastAsia" w:ascii="宋体"/>
          <w:szCs w:val="21"/>
        </w:rPr>
        <w:t>日期：</w:t>
      </w:r>
      <w:r>
        <w:rPr>
          <w:rFonts w:hint="eastAsia" w:ascii="宋体"/>
          <w:szCs w:val="21"/>
          <w:u w:val="single"/>
        </w:rPr>
        <w:t xml:space="preserve">       </w:t>
      </w:r>
      <w:r>
        <w:rPr>
          <w:rFonts w:hint="eastAsia" w:ascii="宋体"/>
          <w:szCs w:val="21"/>
        </w:rPr>
        <w:t>年</w:t>
      </w:r>
      <w:r>
        <w:rPr>
          <w:rFonts w:hint="eastAsia" w:ascii="宋体"/>
          <w:szCs w:val="21"/>
          <w:u w:val="single"/>
        </w:rPr>
        <w:t xml:space="preserve">     </w:t>
      </w:r>
      <w:r>
        <w:rPr>
          <w:rFonts w:hint="eastAsia" w:ascii="宋体"/>
          <w:szCs w:val="21"/>
        </w:rPr>
        <w:t>月</w:t>
      </w:r>
      <w:r>
        <w:rPr>
          <w:rFonts w:hint="eastAsia" w:ascii="宋体"/>
          <w:szCs w:val="21"/>
          <w:u w:val="single"/>
        </w:rPr>
        <w:t xml:space="preserve">    </w:t>
      </w:r>
      <w:r>
        <w:rPr>
          <w:rFonts w:hint="eastAsia" w:ascii="宋体"/>
          <w:szCs w:val="21"/>
        </w:rPr>
        <w:t>日</w:t>
      </w:r>
      <w:r>
        <w:rPr>
          <w:rFonts w:hint="eastAsia"/>
          <w:sz w:val="24"/>
        </w:rPr>
        <w:t xml:space="preserve">                                </w:t>
      </w:r>
    </w:p>
    <w:p w14:paraId="03C350BE">
      <w:pPr>
        <w:spacing w:after="120" w:afterLines="50"/>
        <w:ind w:firstLine="411" w:firstLineChars="196"/>
        <w:rPr>
          <w:rFonts w:ascii="宋体"/>
          <w:szCs w:val="21"/>
        </w:rPr>
      </w:pPr>
    </w:p>
    <w:p w14:paraId="4AF69A68">
      <w:pPr>
        <w:pStyle w:val="3"/>
        <w:jc w:val="center"/>
        <w:rPr>
          <w:rFonts w:ascii="黑体" w:eastAsia="黑体"/>
          <w:b w:val="0"/>
          <w:sz w:val="24"/>
        </w:rPr>
      </w:pPr>
      <w:r>
        <w:rPr>
          <w:rFonts w:hint="eastAsia" w:ascii="黑体" w:eastAsia="黑体"/>
          <w:b w:val="0"/>
          <w:sz w:val="24"/>
        </w:rPr>
        <w:t>二、资格响应文件</w:t>
      </w:r>
    </w:p>
    <w:p w14:paraId="7E70D404">
      <w:pPr>
        <w:adjustRightInd w:val="0"/>
        <w:snapToGrid w:val="0"/>
        <w:spacing w:line="360" w:lineRule="auto"/>
        <w:ind w:firstLine="424" w:firstLineChars="202"/>
        <w:rPr>
          <w:rFonts w:ascii="宋体"/>
          <w:bCs/>
          <w:snapToGrid w:val="0"/>
          <w:kern w:val="0"/>
          <w:szCs w:val="21"/>
        </w:rPr>
      </w:pPr>
      <w:r>
        <w:rPr>
          <w:rFonts w:hint="eastAsia" w:ascii="宋体"/>
          <w:bCs/>
          <w:snapToGrid w:val="0"/>
          <w:kern w:val="0"/>
          <w:szCs w:val="21"/>
        </w:rPr>
        <w:t>1、</w:t>
      </w:r>
      <w:r>
        <w:rPr>
          <w:rFonts w:ascii="宋体"/>
          <w:bCs/>
          <w:snapToGrid w:val="0"/>
          <w:kern w:val="0"/>
          <w:szCs w:val="21"/>
        </w:rPr>
        <w:t>营业执照</w:t>
      </w:r>
      <w:r>
        <w:rPr>
          <w:rFonts w:hint="eastAsia" w:ascii="宋体"/>
          <w:bCs/>
          <w:snapToGrid w:val="0"/>
          <w:kern w:val="0"/>
          <w:szCs w:val="21"/>
        </w:rPr>
        <w:t>或法人证书</w:t>
      </w:r>
      <w:r>
        <w:rPr>
          <w:rFonts w:hint="eastAsia"/>
          <w:szCs w:val="21"/>
        </w:rPr>
        <w:t>等证明材料</w:t>
      </w:r>
      <w:r>
        <w:rPr>
          <w:rFonts w:hint="eastAsia" w:ascii="宋体"/>
          <w:bCs/>
          <w:snapToGrid w:val="0"/>
          <w:kern w:val="0"/>
          <w:szCs w:val="21"/>
        </w:rPr>
        <w:t>（扫描件）</w:t>
      </w:r>
    </w:p>
    <w:p w14:paraId="7D70B8D0">
      <w:pPr>
        <w:adjustRightInd w:val="0"/>
        <w:snapToGrid w:val="0"/>
        <w:spacing w:line="360" w:lineRule="auto"/>
        <w:ind w:firstLine="424" w:firstLineChars="202"/>
        <w:rPr>
          <w:rFonts w:ascii="宋体"/>
        </w:rPr>
      </w:pPr>
      <w:r>
        <w:rPr>
          <w:rFonts w:hint="eastAsia" w:ascii="宋体"/>
          <w:bCs/>
          <w:snapToGrid w:val="0"/>
          <w:kern w:val="0"/>
          <w:szCs w:val="21"/>
        </w:rPr>
        <w:t>2、</w:t>
      </w:r>
      <w:r>
        <w:rPr>
          <w:rFonts w:hint="eastAsia"/>
          <w:szCs w:val="21"/>
        </w:rPr>
        <w:t>政府采购投标及履约承诺函</w:t>
      </w:r>
    </w:p>
    <w:p w14:paraId="07B03091">
      <w:pPr>
        <w:adjustRightInd w:val="0"/>
        <w:snapToGrid w:val="0"/>
        <w:spacing w:line="360" w:lineRule="auto"/>
        <w:ind w:firstLine="424" w:firstLineChars="202"/>
        <w:rPr>
          <w:rFonts w:ascii="宋体"/>
        </w:rPr>
      </w:pPr>
      <w:r>
        <w:rPr>
          <w:rFonts w:hint="eastAsia" w:ascii="宋体"/>
        </w:rPr>
        <w:t>3、其它资格证明材料（如有，按招标公告“申请人的资格要求”提供）</w:t>
      </w:r>
    </w:p>
    <w:p w14:paraId="2B607400">
      <w:pPr>
        <w:pStyle w:val="3"/>
        <w:jc w:val="center"/>
        <w:rPr>
          <w:rFonts w:ascii="黑体" w:eastAsia="黑体"/>
          <w:b w:val="0"/>
          <w:sz w:val="24"/>
        </w:rPr>
      </w:pPr>
    </w:p>
    <w:p w14:paraId="6A38800E">
      <w:pPr>
        <w:pStyle w:val="3"/>
        <w:jc w:val="center"/>
        <w:rPr>
          <w:rFonts w:ascii="黑体" w:eastAsia="黑体"/>
          <w:b w:val="0"/>
          <w:sz w:val="24"/>
        </w:rPr>
      </w:pPr>
      <w:r>
        <w:rPr>
          <w:rFonts w:hint="eastAsia" w:ascii="黑体" w:eastAsia="黑体"/>
          <w:b w:val="0"/>
          <w:sz w:val="24"/>
        </w:rPr>
        <w:t>政府采购投标及履约承诺函</w:t>
      </w:r>
    </w:p>
    <w:p w14:paraId="7A2852F8">
      <w:pPr>
        <w:rPr>
          <w:rFonts w:ascii="宋体"/>
          <w:sz w:val="24"/>
        </w:rPr>
      </w:pPr>
    </w:p>
    <w:p w14:paraId="67E07996">
      <w:pPr>
        <w:rPr>
          <w:rFonts w:ascii="宋体"/>
          <w:szCs w:val="21"/>
        </w:rPr>
      </w:pPr>
      <w:r>
        <w:rPr>
          <w:rFonts w:hint="eastAsia" w:ascii="宋体"/>
          <w:szCs w:val="21"/>
        </w:rPr>
        <w:t>深圳市中正招标有限公司：</w:t>
      </w:r>
    </w:p>
    <w:p w14:paraId="2F41808B">
      <w:pPr>
        <w:ind w:right="-815" w:firstLine="420" w:firstLineChars="200"/>
        <w:rPr>
          <w:rFonts w:ascii="宋体"/>
          <w:szCs w:val="21"/>
        </w:rPr>
      </w:pPr>
      <w:r>
        <w:rPr>
          <w:rFonts w:hint="eastAsia" w:ascii="宋体"/>
          <w:szCs w:val="21"/>
        </w:rPr>
        <w:t>我单位承诺：</w:t>
      </w:r>
    </w:p>
    <w:p w14:paraId="52D6F6C4">
      <w:pPr>
        <w:ind w:firstLine="424" w:firstLineChars="202"/>
        <w:rPr>
          <w:rFonts w:ascii="宋体"/>
          <w:szCs w:val="21"/>
        </w:rPr>
      </w:pPr>
      <w:r>
        <w:rPr>
          <w:rFonts w:hint="eastAsia" w:ascii="宋体"/>
          <w:szCs w:val="21"/>
        </w:rPr>
        <w:t>1.我单位满足《中华人民共和国政府采购法》第二十二条规定的下列条件：</w:t>
      </w:r>
    </w:p>
    <w:p w14:paraId="17BF8245">
      <w:pPr>
        <w:ind w:firstLine="424" w:firstLineChars="202"/>
        <w:rPr>
          <w:rFonts w:ascii="宋体"/>
          <w:szCs w:val="21"/>
        </w:rPr>
      </w:pPr>
      <w:r>
        <w:rPr>
          <w:rFonts w:hint="eastAsia" w:ascii="宋体"/>
          <w:szCs w:val="21"/>
        </w:rPr>
        <w:t>（一）具有独立承担民事责任的能力；</w:t>
      </w:r>
    </w:p>
    <w:p w14:paraId="22316302">
      <w:pPr>
        <w:ind w:firstLine="424" w:firstLineChars="202"/>
        <w:rPr>
          <w:rFonts w:ascii="宋体"/>
          <w:szCs w:val="21"/>
        </w:rPr>
      </w:pPr>
      <w:r>
        <w:rPr>
          <w:rFonts w:hint="eastAsia" w:ascii="宋体"/>
          <w:szCs w:val="21"/>
        </w:rPr>
        <w:t>（二）具有良好的商业信誉和健全的财务会计制度；</w:t>
      </w:r>
    </w:p>
    <w:p w14:paraId="23B9F32C">
      <w:pPr>
        <w:ind w:firstLine="424" w:firstLineChars="202"/>
        <w:rPr>
          <w:rFonts w:ascii="宋体"/>
          <w:szCs w:val="21"/>
        </w:rPr>
      </w:pPr>
      <w:r>
        <w:rPr>
          <w:rFonts w:hint="eastAsia" w:ascii="宋体"/>
          <w:szCs w:val="21"/>
        </w:rPr>
        <w:t>（三）具有履行合同所必需的设备和专业技术能力；</w:t>
      </w:r>
    </w:p>
    <w:p w14:paraId="16AB734F">
      <w:pPr>
        <w:ind w:firstLine="424" w:firstLineChars="202"/>
        <w:rPr>
          <w:rFonts w:ascii="宋体"/>
          <w:szCs w:val="21"/>
        </w:rPr>
      </w:pPr>
      <w:r>
        <w:rPr>
          <w:rFonts w:hint="eastAsia" w:ascii="宋体"/>
          <w:szCs w:val="21"/>
        </w:rPr>
        <w:t>（四）有依法缴纳税收和社会保障资金的良好记录；</w:t>
      </w:r>
    </w:p>
    <w:p w14:paraId="1FB89100">
      <w:pPr>
        <w:ind w:firstLine="424" w:firstLineChars="202"/>
        <w:rPr>
          <w:rFonts w:ascii="宋体"/>
          <w:szCs w:val="21"/>
        </w:rPr>
      </w:pPr>
      <w:r>
        <w:rPr>
          <w:rFonts w:hint="eastAsia" w:ascii="宋体"/>
          <w:szCs w:val="21"/>
        </w:rPr>
        <w:t>（五）参加政府采购活动前三年内，在经营活动中没有重大违法记录；</w:t>
      </w:r>
    </w:p>
    <w:p w14:paraId="7891366D">
      <w:pPr>
        <w:ind w:firstLine="424" w:firstLineChars="202"/>
        <w:rPr>
          <w:rFonts w:ascii="宋体"/>
          <w:szCs w:val="21"/>
        </w:rPr>
      </w:pPr>
      <w:r>
        <w:rPr>
          <w:rFonts w:hint="eastAsia" w:ascii="宋体"/>
          <w:szCs w:val="21"/>
        </w:rPr>
        <w:t>（六）法律、行政法规规定的其他条件。</w:t>
      </w:r>
    </w:p>
    <w:p w14:paraId="32B000BA">
      <w:pPr>
        <w:ind w:firstLine="420" w:firstLineChars="200"/>
        <w:rPr>
          <w:rFonts w:ascii="宋体"/>
          <w:szCs w:val="21"/>
        </w:rPr>
      </w:pPr>
      <w:r>
        <w:rPr>
          <w:rFonts w:hint="eastAsia" w:ascii="宋体"/>
          <w:szCs w:val="21"/>
        </w:rPr>
        <w:t>2.我单位参与本项目采购活动前三年内，在经营活动中没有重大违法记录，包括因违法经营受到刑事处罚或者责令停产停业、吊销许可证或者执照、</w:t>
      </w:r>
      <w:r>
        <w:rPr>
          <w:rFonts w:hint="eastAsia" w:ascii="宋体"/>
          <w:szCs w:val="21"/>
          <w:lang w:eastAsia="zh-CN"/>
        </w:rPr>
        <w:t>较大数额罚款（指200万元以上的罚款，法律、行政法规以及国务院有关部门明确规定相关领域“较大数额罚款”标准高于200万元的，从其规定）</w:t>
      </w:r>
      <w:r>
        <w:rPr>
          <w:rFonts w:hint="eastAsia" w:ascii="宋体"/>
          <w:szCs w:val="21"/>
        </w:rPr>
        <w:t>等行政处罚。</w:t>
      </w:r>
    </w:p>
    <w:p w14:paraId="266AF870">
      <w:pPr>
        <w:ind w:firstLine="420" w:firstLineChars="200"/>
        <w:rPr>
          <w:rFonts w:ascii="宋体"/>
          <w:szCs w:val="21"/>
        </w:rPr>
      </w:pPr>
      <w:r>
        <w:rPr>
          <w:rFonts w:hint="eastAsia" w:ascii="宋体"/>
          <w:szCs w:val="21"/>
        </w:rPr>
        <w:t>3.我单位参与本项目</w:t>
      </w:r>
      <w:r>
        <w:rPr>
          <w:rFonts w:hint="eastAsia"/>
        </w:rPr>
        <w:t>政府采购活动时不存在被有关部门禁止参与政府采购活动且在有效期内的情况</w:t>
      </w:r>
      <w:r>
        <w:rPr>
          <w:rFonts w:hint="eastAsia" w:ascii="宋体"/>
          <w:szCs w:val="21"/>
        </w:rPr>
        <w:t>；与其他投标供应商不存在“单位负责人为同一人或者存在直接控股、管理关系”的情况；</w:t>
      </w:r>
      <w:r>
        <w:rPr>
          <w:rFonts w:hint="eastAsia" w:ascii="宋体" w:eastAsia="宋体"/>
          <w:snapToGrid w:val="0"/>
        </w:rPr>
        <w:t>除单一来源采购项目外，为采购项目提供整体设计、规范编制或者项目管理、监理、检测等服务的供应商，不得再参加该采购项目的其他采购活动</w:t>
      </w:r>
      <w:r>
        <w:rPr>
          <w:rFonts w:hint="eastAsia"/>
        </w:rPr>
        <w:t>。</w:t>
      </w:r>
    </w:p>
    <w:p w14:paraId="0F313A1B">
      <w:pPr>
        <w:ind w:firstLine="420" w:firstLineChars="200"/>
        <w:rPr>
          <w:rFonts w:ascii="宋体"/>
          <w:szCs w:val="21"/>
        </w:rPr>
      </w:pPr>
      <w:r>
        <w:rPr>
          <w:rFonts w:hint="eastAsia" w:ascii="宋体"/>
          <w:szCs w:val="21"/>
        </w:rPr>
        <w:t>4.我单位承诺非联合体投标，不非法转包或分包，为本项目所提供的货物或服务未侵犯知识产权。</w:t>
      </w:r>
    </w:p>
    <w:p w14:paraId="7A015240">
      <w:pPr>
        <w:ind w:firstLine="420" w:firstLineChars="200"/>
        <w:rPr>
          <w:rFonts w:ascii="宋体"/>
          <w:szCs w:val="21"/>
        </w:rPr>
      </w:pPr>
      <w:r>
        <w:rPr>
          <w:rFonts w:hint="eastAsia" w:ascii="宋体"/>
          <w:szCs w:val="21"/>
        </w:rPr>
        <w:t>5.我单位承诺不存在《深圳市财政局政府采购供应商信用信息管理办法》（深财规〔2023〕3号）列明的严重违法失信行为。</w:t>
      </w:r>
    </w:p>
    <w:p w14:paraId="4E96F580">
      <w:pPr>
        <w:ind w:firstLine="424" w:firstLineChars="202"/>
        <w:rPr>
          <w:rFonts w:ascii="宋体"/>
          <w:szCs w:val="21"/>
        </w:rPr>
      </w:pPr>
      <w:r>
        <w:rPr>
          <w:rFonts w:hint="eastAsia" w:ascii="宋体"/>
          <w:szCs w:val="21"/>
        </w:rPr>
        <w:t>6.我单位参与该项目投标，严格遵循公平竞争的原则，不妨碍其他投标人的竞争行为，不损害采购人或者其他投标人的合法权益，与其他采购参加人不存在</w:t>
      </w:r>
      <w:r>
        <w:rPr>
          <w:rFonts w:hint="eastAsia" w:ascii="宋体"/>
          <w:szCs w:val="21"/>
          <w:lang w:eastAsia="zh-CN"/>
        </w:rPr>
        <w:t>包括但不限于以下</w:t>
      </w:r>
      <w:r>
        <w:rPr>
          <w:rFonts w:hint="eastAsia" w:ascii="宋体"/>
          <w:szCs w:val="21"/>
        </w:rPr>
        <w:t>串通投标情形：</w:t>
      </w:r>
    </w:p>
    <w:p w14:paraId="239063DC">
      <w:pPr>
        <w:ind w:firstLine="424" w:firstLineChars="202"/>
        <w:rPr>
          <w:rFonts w:ascii="宋体"/>
          <w:szCs w:val="21"/>
        </w:rPr>
      </w:pPr>
      <w:r>
        <w:rPr>
          <w:rFonts w:hint="eastAsia" w:ascii="宋体"/>
          <w:szCs w:val="21"/>
        </w:rPr>
        <w:t>（1）投标供应商之间相互约定给予未中标的供应商利益补偿；</w:t>
      </w:r>
    </w:p>
    <w:p w14:paraId="05E3C78F">
      <w:pPr>
        <w:ind w:firstLine="424" w:firstLineChars="202"/>
        <w:rPr>
          <w:rFonts w:ascii="宋体"/>
          <w:szCs w:val="21"/>
        </w:rPr>
      </w:pPr>
      <w:r>
        <w:rPr>
          <w:rFonts w:hint="eastAsia" w:ascii="宋体"/>
          <w:szCs w:val="21"/>
        </w:rPr>
        <w:t>（2）不同投标供应商的法定代表人、主要经营负责人、项目投标授权代表人、项目负责人、主要技术人员为同一人、属同一单位或者在同一单位缴纳社会保险；</w:t>
      </w:r>
    </w:p>
    <w:p w14:paraId="13ADCDC9">
      <w:pPr>
        <w:ind w:firstLine="424" w:firstLineChars="202"/>
        <w:rPr>
          <w:rFonts w:ascii="宋体"/>
          <w:szCs w:val="21"/>
        </w:rPr>
      </w:pPr>
      <w:r>
        <w:rPr>
          <w:rFonts w:hint="eastAsia" w:ascii="宋体"/>
          <w:szCs w:val="21"/>
        </w:rPr>
        <w:t>（3）不同投标供应商的投标文件由同一单位或者同一人编制，或者由同一人分阶段参与编制的；</w:t>
      </w:r>
    </w:p>
    <w:p w14:paraId="6E5E7F7A">
      <w:pPr>
        <w:ind w:firstLine="424" w:firstLineChars="202"/>
        <w:rPr>
          <w:rFonts w:ascii="宋体"/>
          <w:szCs w:val="21"/>
        </w:rPr>
      </w:pPr>
      <w:r>
        <w:rPr>
          <w:rFonts w:hint="eastAsia" w:ascii="宋体"/>
          <w:szCs w:val="21"/>
        </w:rPr>
        <w:t>（4）不同投标供应商的投标文件或部分投标文件相互混装；</w:t>
      </w:r>
    </w:p>
    <w:p w14:paraId="27F0FED5">
      <w:pPr>
        <w:ind w:firstLine="424" w:firstLineChars="202"/>
        <w:rPr>
          <w:rFonts w:ascii="宋体"/>
          <w:szCs w:val="21"/>
        </w:rPr>
      </w:pPr>
      <w:r>
        <w:rPr>
          <w:rFonts w:hint="eastAsia" w:ascii="宋体"/>
          <w:szCs w:val="21"/>
        </w:rPr>
        <w:t>（5）不同投标供应商的投标文件内容存在非正常一致；</w:t>
      </w:r>
    </w:p>
    <w:p w14:paraId="12C04931">
      <w:pPr>
        <w:ind w:firstLine="424" w:firstLineChars="202"/>
        <w:rPr>
          <w:rFonts w:ascii="宋体"/>
          <w:szCs w:val="21"/>
        </w:rPr>
      </w:pPr>
      <w:r>
        <w:rPr>
          <w:rFonts w:hint="eastAsia" w:ascii="宋体"/>
          <w:szCs w:val="21"/>
        </w:rPr>
        <w:t>（6）由同一单位工作人员为两家以上（含两家）供应商进行同一项投标活动的；</w:t>
      </w:r>
    </w:p>
    <w:p w14:paraId="03E7D5F2">
      <w:pPr>
        <w:ind w:firstLine="420" w:firstLineChars="200"/>
        <w:rPr>
          <w:rFonts w:ascii="宋体"/>
          <w:szCs w:val="21"/>
        </w:rPr>
      </w:pPr>
      <w:r>
        <w:rPr>
          <w:rFonts w:hint="eastAsia" w:ascii="宋体"/>
          <w:szCs w:val="21"/>
        </w:rPr>
        <w:t>（7）主管部门依照法律、法规认定的其他情形。</w:t>
      </w:r>
    </w:p>
    <w:p w14:paraId="3C7B4569">
      <w:pPr>
        <w:ind w:firstLine="420" w:firstLineChars="200"/>
        <w:rPr>
          <w:rFonts w:ascii="宋体"/>
          <w:szCs w:val="21"/>
        </w:rPr>
      </w:pPr>
      <w:r>
        <w:rPr>
          <w:rFonts w:hint="eastAsia" w:ascii="宋体"/>
          <w:szCs w:val="21"/>
        </w:rPr>
        <w:t>7.我单位如果中标，做到守信，不偷工减料，依照本项目招标文件需求内容、签署的采购合同及本单位在投标中所作的一切承诺履约。</w:t>
      </w:r>
    </w:p>
    <w:p w14:paraId="09D90A49">
      <w:pPr>
        <w:ind w:firstLine="420" w:firstLineChars="200"/>
        <w:rPr>
          <w:rFonts w:ascii="宋体"/>
          <w:szCs w:val="21"/>
        </w:rPr>
      </w:pPr>
      <w:r>
        <w:rPr>
          <w:rFonts w:hint="eastAsia" w:asci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6EAE0E1">
      <w:pPr>
        <w:ind w:firstLine="420" w:firstLineChars="200"/>
        <w:rPr>
          <w:rFonts w:ascii="宋体"/>
          <w:szCs w:val="21"/>
        </w:rPr>
      </w:pPr>
      <w:r>
        <w:rPr>
          <w:rFonts w:hint="eastAsia" w:asci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7C2F97FA">
      <w:pPr>
        <w:ind w:firstLine="420" w:firstLineChars="200"/>
        <w:rPr>
          <w:rFonts w:ascii="宋体"/>
          <w:szCs w:val="21"/>
        </w:rPr>
      </w:pPr>
      <w:r>
        <w:rPr>
          <w:rFonts w:hint="eastAsia" w:asci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22FD43E5">
      <w:pPr>
        <w:ind w:firstLine="420" w:firstLineChars="200"/>
        <w:rPr>
          <w:rFonts w:ascii="宋体"/>
          <w:szCs w:val="21"/>
        </w:rPr>
      </w:pPr>
      <w:r>
        <w:rPr>
          <w:rFonts w:hint="eastAsia" w:ascii="宋体"/>
          <w:szCs w:val="21"/>
        </w:rPr>
        <w:t>以上承诺，如有违反，愿依照国家相关法律处理，并承担由此给采购人带来的损失。</w:t>
      </w:r>
    </w:p>
    <w:p w14:paraId="19E2E98C">
      <w:pPr>
        <w:ind w:firstLine="420" w:firstLineChars="200"/>
        <w:rPr>
          <w:rFonts w:ascii="宋体"/>
          <w:szCs w:val="21"/>
        </w:rPr>
      </w:pPr>
    </w:p>
    <w:p w14:paraId="46D588DB">
      <w:pPr>
        <w:jc w:val="center"/>
      </w:pPr>
      <w:r>
        <w:rPr>
          <w:rFonts w:hint="eastAsia"/>
          <w:szCs w:val="21"/>
        </w:rPr>
        <w:t xml:space="preserve">                             投标人：</w:t>
      </w:r>
    </w:p>
    <w:p w14:paraId="2F6D387A">
      <w:pPr>
        <w:rPr>
          <w:rFonts w:ascii="宋体"/>
          <w:szCs w:val="21"/>
        </w:rPr>
      </w:pPr>
      <w:r>
        <w:rPr>
          <w:rFonts w:hint="eastAsia" w:ascii="宋体"/>
          <w:szCs w:val="21"/>
        </w:rPr>
        <w:t xml:space="preserve">                                                      日期：</w:t>
      </w:r>
      <w:r>
        <w:rPr>
          <w:rFonts w:hint="eastAsia" w:ascii="宋体"/>
          <w:szCs w:val="21"/>
          <w:u w:val="single"/>
        </w:rPr>
        <w:t xml:space="preserve">    </w:t>
      </w:r>
      <w:r>
        <w:rPr>
          <w:rFonts w:hint="eastAsia" w:ascii="宋体"/>
          <w:szCs w:val="21"/>
        </w:rPr>
        <w:t>年</w:t>
      </w:r>
      <w:r>
        <w:rPr>
          <w:rFonts w:hint="eastAsia" w:ascii="宋体"/>
          <w:szCs w:val="21"/>
          <w:u w:val="single"/>
        </w:rPr>
        <w:t xml:space="preserve">   </w:t>
      </w:r>
      <w:r>
        <w:rPr>
          <w:rFonts w:hint="eastAsia" w:ascii="宋体"/>
          <w:szCs w:val="21"/>
        </w:rPr>
        <w:t>月</w:t>
      </w:r>
      <w:r>
        <w:rPr>
          <w:rFonts w:hint="eastAsia" w:ascii="宋体"/>
          <w:szCs w:val="21"/>
          <w:u w:val="single"/>
        </w:rPr>
        <w:t xml:space="preserve">   </w:t>
      </w:r>
      <w:r>
        <w:rPr>
          <w:rFonts w:hint="eastAsia" w:ascii="宋体"/>
          <w:szCs w:val="21"/>
        </w:rPr>
        <w:t>日</w:t>
      </w:r>
    </w:p>
    <w:p w14:paraId="54F055AB">
      <w:pPr>
        <w:ind w:firstLine="420" w:firstLineChars="200"/>
        <w:rPr>
          <w:rFonts w:ascii="宋体"/>
          <w:szCs w:val="21"/>
        </w:rPr>
      </w:pPr>
    </w:p>
    <w:p w14:paraId="5CBD735C">
      <w:pPr>
        <w:pStyle w:val="3"/>
        <w:jc w:val="center"/>
        <w:rPr>
          <w:rFonts w:ascii="黑体" w:eastAsia="黑体"/>
          <w:b w:val="0"/>
          <w:sz w:val="24"/>
        </w:rPr>
      </w:pPr>
      <w:r>
        <w:rPr>
          <w:rFonts w:hint="eastAsia" w:ascii="黑体" w:eastAsia="黑体"/>
          <w:b w:val="0"/>
          <w:sz w:val="24"/>
        </w:rPr>
        <w:t>三、投标人情况介绍</w:t>
      </w:r>
    </w:p>
    <w:p w14:paraId="5AA740DE">
      <w:pPr>
        <w:ind w:left="626" w:hanging="632" w:hangingChars="300"/>
        <w:rPr>
          <w:b/>
          <w:bCs/>
        </w:rPr>
      </w:pPr>
    </w:p>
    <w:p w14:paraId="22DF042C">
      <w:pPr>
        <w:spacing w:line="360" w:lineRule="exact"/>
        <w:rPr>
          <w:rFonts w:hint="eastAsia" w:ascii="宋体" w:eastAsia="宋体" w:cs="宋体"/>
          <w:bCs/>
          <w:sz w:val="21"/>
          <w:szCs w:val="21"/>
        </w:rPr>
      </w:pPr>
      <w:r>
        <w:rPr>
          <w:rFonts w:hint="eastAsia" w:ascii="宋体" w:eastAsia="宋体" w:cs="宋体"/>
          <w:bCs/>
          <w:sz w:val="21"/>
          <w:szCs w:val="21"/>
        </w:rPr>
        <w:t>注：供应商</w:t>
      </w:r>
      <w:r>
        <w:rPr>
          <w:rFonts w:hint="eastAsia" w:ascii="宋体" w:eastAsia="宋体" w:cs="宋体"/>
          <w:bCs/>
          <w:sz w:val="21"/>
          <w:szCs w:val="21"/>
          <w:lang w:eastAsia="zh-CN"/>
        </w:rPr>
        <w:t>如实提供情况介绍，格式自拟</w:t>
      </w:r>
      <w:r>
        <w:rPr>
          <w:rFonts w:hint="eastAsia" w:ascii="宋体" w:eastAsia="宋体" w:cs="宋体"/>
          <w:bCs/>
          <w:sz w:val="21"/>
          <w:szCs w:val="21"/>
        </w:rPr>
        <w:t>。</w:t>
      </w:r>
    </w:p>
    <w:p w14:paraId="555B053B">
      <w:pPr>
        <w:ind w:left="626" w:hanging="632" w:hangingChars="300"/>
        <w:rPr>
          <w:b/>
          <w:bCs/>
        </w:rPr>
      </w:pPr>
    </w:p>
    <w:p w14:paraId="644ADB67">
      <w:pPr>
        <w:ind w:left="626" w:hanging="632" w:hangingChars="300"/>
        <w:rPr>
          <w:b/>
          <w:bCs/>
        </w:rPr>
      </w:pPr>
    </w:p>
    <w:p w14:paraId="5248774F">
      <w:pPr>
        <w:ind w:left="626" w:hanging="632" w:hangingChars="300"/>
        <w:rPr>
          <w:b/>
          <w:bCs/>
        </w:rPr>
      </w:pPr>
    </w:p>
    <w:p w14:paraId="2E445C47">
      <w:pPr>
        <w:jc w:val="center"/>
        <w:outlineLvl w:val="3"/>
        <w:rPr>
          <w:rFonts w:ascii="黑体" w:eastAsia="黑体"/>
          <w:bCs/>
          <w:kern w:val="0"/>
          <w:sz w:val="24"/>
          <w:szCs w:val="32"/>
        </w:rPr>
      </w:pPr>
      <w:r>
        <w:rPr>
          <w:rFonts w:hint="eastAsia" w:ascii="黑体" w:eastAsia="黑体"/>
          <w:bCs/>
          <w:kern w:val="0"/>
          <w:sz w:val="24"/>
          <w:szCs w:val="32"/>
        </w:rPr>
        <w:t>四、中小企业声明函等符合政府采购扶持政策的证明材料</w:t>
      </w:r>
    </w:p>
    <w:p w14:paraId="6561E5BE">
      <w:pPr>
        <w:jc w:val="left"/>
        <w:outlineLvl w:val="3"/>
        <w:rPr>
          <w:rFonts w:ascii="黑体" w:eastAsia="黑体"/>
          <w:bCs/>
          <w:kern w:val="0"/>
          <w:sz w:val="24"/>
          <w:szCs w:val="32"/>
        </w:rPr>
      </w:pPr>
    </w:p>
    <w:p w14:paraId="0637F4F7">
      <w:pPr>
        <w:widowControl/>
        <w:snapToGrid w:val="0"/>
        <w:spacing w:line="360" w:lineRule="auto"/>
        <w:jc w:val="left"/>
        <w:outlineLvl w:val="4"/>
        <w:rPr>
          <w:rFonts w:ascii="仿宋" w:eastAsia="仿宋"/>
          <w:b/>
          <w:bCs/>
          <w:kern w:val="0"/>
          <w:sz w:val="25"/>
          <w:szCs w:val="25"/>
        </w:rPr>
      </w:pPr>
      <w:r>
        <w:rPr>
          <w:rFonts w:hint="eastAsia" w:ascii="仿宋" w:eastAsia="仿宋"/>
          <w:b/>
          <w:bCs/>
          <w:kern w:val="0"/>
          <w:sz w:val="25"/>
          <w:szCs w:val="25"/>
        </w:rPr>
        <w:t>填写指引：</w:t>
      </w:r>
    </w:p>
    <w:p w14:paraId="236BF92E">
      <w:pPr>
        <w:widowControl/>
        <w:snapToGrid w:val="0"/>
        <w:spacing w:line="360" w:lineRule="auto"/>
        <w:jc w:val="left"/>
        <w:rPr>
          <w:rFonts w:ascii="宋体" w:eastAsia="宋体"/>
          <w:kern w:val="0"/>
          <w:szCs w:val="21"/>
        </w:rPr>
      </w:pPr>
      <w:r>
        <w:rPr>
          <w:rFonts w:hint="eastAsia" w:ascii="仿宋" w:eastAsia="仿宋"/>
          <w:kern w:val="0"/>
          <w:sz w:val="25"/>
          <w:szCs w:val="25"/>
        </w:rPr>
        <w:t xml:space="preserve">  </w:t>
      </w:r>
      <w:r>
        <w:rPr>
          <w:rFonts w:hint="eastAsia" w:ascii="宋体" w:eastAsia="宋体"/>
          <w:kern w:val="0"/>
          <w:szCs w:val="21"/>
        </w:rPr>
        <w:t xml:space="preserve">  1、该部分内容由投标人根据自身实际情况填写，投标人提供的声明函不属实的，属于提供虚假资料谋取中标，依照《中华人民共和国政府采购法》等国家有关规定追究相应责任。</w:t>
      </w:r>
    </w:p>
    <w:p w14:paraId="189390DF">
      <w:pPr>
        <w:widowControl/>
        <w:snapToGrid w:val="0"/>
        <w:spacing w:line="360" w:lineRule="auto"/>
        <w:ind w:firstLine="555"/>
        <w:jc w:val="left"/>
        <w:rPr>
          <w:rFonts w:ascii="宋体" w:eastAsia="宋体"/>
          <w:kern w:val="0"/>
          <w:szCs w:val="21"/>
        </w:rPr>
      </w:pPr>
      <w:r>
        <w:rPr>
          <w:rFonts w:hint="eastAsia" w:ascii="宋体" w:eastAsia="宋体"/>
          <w:kern w:val="0"/>
          <w:szCs w:val="21"/>
        </w:rPr>
        <w:t>2、该部分内容填写需要参考的相关文件包括但不限于（具体内容详见附件）：</w:t>
      </w:r>
    </w:p>
    <w:p w14:paraId="29E395C2">
      <w:pPr>
        <w:widowControl/>
        <w:snapToGrid w:val="0"/>
        <w:spacing w:line="360" w:lineRule="auto"/>
        <w:ind w:firstLine="555"/>
        <w:jc w:val="left"/>
        <w:rPr>
          <w:rFonts w:ascii="宋体" w:eastAsia="宋体"/>
          <w:kern w:val="0"/>
          <w:szCs w:val="21"/>
        </w:rPr>
      </w:pPr>
      <w:r>
        <w:rPr>
          <w:rFonts w:hint="eastAsia" w:ascii="宋体" w:eastAsia="宋体"/>
          <w:kern w:val="0"/>
          <w:szCs w:val="21"/>
        </w:rPr>
        <w:t>(</w:t>
      </w:r>
      <w:r>
        <w:rPr>
          <w:rFonts w:ascii="宋体" w:eastAsia="宋体"/>
          <w:kern w:val="0"/>
          <w:szCs w:val="21"/>
        </w:rPr>
        <w:t>1</w:t>
      </w:r>
      <w:r>
        <w:rPr>
          <w:rFonts w:hint="eastAsia" w:ascii="宋体" w:eastAsia="宋体"/>
          <w:kern w:val="0"/>
          <w:szCs w:val="21"/>
        </w:rPr>
        <w:t>)</w:t>
      </w:r>
      <w:r>
        <w:rPr>
          <w:rFonts w:hint="eastAsia" w:ascii="宋体" w:eastAsia="宋体"/>
          <w:szCs w:val="21"/>
        </w:rPr>
        <w:t xml:space="preserve"> </w:t>
      </w:r>
      <w:r>
        <w:rPr>
          <w:rFonts w:hint="eastAsia" w:ascii="宋体" w:eastAsia="宋体"/>
          <w:kern w:val="0"/>
          <w:szCs w:val="21"/>
        </w:rPr>
        <w:t>财政部 工业和信息化部关于印发《政府采购促进中小企业发展管理办法》的通知（财库〔2020〕46号）</w:t>
      </w:r>
    </w:p>
    <w:p w14:paraId="54CCFF24">
      <w:pPr>
        <w:widowControl/>
        <w:snapToGrid w:val="0"/>
        <w:spacing w:line="360" w:lineRule="auto"/>
        <w:ind w:firstLine="555"/>
        <w:jc w:val="left"/>
        <w:rPr>
          <w:rFonts w:ascii="宋体" w:eastAsia="宋体"/>
          <w:kern w:val="0"/>
          <w:szCs w:val="21"/>
        </w:rPr>
      </w:pPr>
      <w:r>
        <w:rPr>
          <w:rFonts w:hint="eastAsia" w:ascii="宋体" w:eastAsia="宋体"/>
          <w:kern w:val="0"/>
          <w:szCs w:val="21"/>
        </w:rPr>
        <w:t>(</w:t>
      </w:r>
      <w:r>
        <w:rPr>
          <w:rFonts w:ascii="宋体" w:eastAsia="宋体"/>
          <w:kern w:val="0"/>
          <w:szCs w:val="21"/>
        </w:rPr>
        <w:t>2</w:t>
      </w:r>
      <w:r>
        <w:rPr>
          <w:rFonts w:hint="eastAsia" w:ascii="宋体" w:eastAsia="宋体"/>
          <w:kern w:val="0"/>
          <w:szCs w:val="21"/>
        </w:rPr>
        <w:t>)</w:t>
      </w:r>
      <w:bookmarkStart w:id="29" w:name="_Hlk71925120"/>
      <w:r>
        <w:rPr>
          <w:rFonts w:hint="eastAsia" w:ascii="宋体" w:eastAsia="宋体"/>
          <w:kern w:val="0"/>
          <w:szCs w:val="21"/>
        </w:rPr>
        <w:t>《关于印发中小企业划型标准规定的通知》（工信部联企业〔2011〕300 号</w:t>
      </w:r>
      <w:bookmarkEnd w:id="29"/>
      <w:r>
        <w:rPr>
          <w:rFonts w:hint="eastAsia" w:ascii="宋体" w:eastAsia="宋体"/>
          <w:kern w:val="0"/>
          <w:szCs w:val="21"/>
        </w:rPr>
        <w:t>）</w:t>
      </w:r>
    </w:p>
    <w:p w14:paraId="4B4F1EDB">
      <w:pPr>
        <w:widowControl/>
        <w:snapToGrid w:val="0"/>
        <w:spacing w:line="360" w:lineRule="auto"/>
        <w:ind w:firstLine="555"/>
        <w:jc w:val="left"/>
        <w:rPr>
          <w:rFonts w:ascii="宋体" w:eastAsia="宋体"/>
          <w:kern w:val="0"/>
          <w:szCs w:val="21"/>
        </w:rPr>
      </w:pPr>
      <w:r>
        <w:rPr>
          <w:rFonts w:hint="eastAsia" w:ascii="宋体" w:eastAsia="宋体"/>
          <w:kern w:val="0"/>
          <w:szCs w:val="21"/>
        </w:rPr>
        <w:t>(3)</w:t>
      </w:r>
      <w:r>
        <w:rPr>
          <w:rFonts w:hint="eastAsia" w:ascii="宋体" w:eastAsia="宋体"/>
          <w:szCs w:val="21"/>
        </w:rPr>
        <w:t xml:space="preserve"> </w:t>
      </w:r>
      <w:r>
        <w:rPr>
          <w:rFonts w:hint="eastAsia" w:ascii="宋体" w:eastAsia="宋体"/>
          <w:kern w:val="0"/>
          <w:szCs w:val="21"/>
        </w:rPr>
        <w:t>国家统计局关于印发《统计上大中小微型企业划分办法 （2017）》的通知（国统字〔2017〕213 号）</w:t>
      </w:r>
    </w:p>
    <w:p w14:paraId="11361DF2">
      <w:pPr>
        <w:widowControl/>
        <w:snapToGrid w:val="0"/>
        <w:spacing w:line="360" w:lineRule="auto"/>
        <w:ind w:firstLine="555"/>
        <w:jc w:val="left"/>
        <w:rPr>
          <w:rFonts w:ascii="宋体" w:eastAsia="宋体"/>
          <w:kern w:val="0"/>
          <w:szCs w:val="21"/>
        </w:rPr>
      </w:pPr>
      <w:r>
        <w:rPr>
          <w:rFonts w:hint="eastAsia" w:ascii="宋体" w:eastAsia="宋体"/>
          <w:kern w:val="0"/>
          <w:szCs w:val="21"/>
        </w:rPr>
        <w:t>(4)</w:t>
      </w:r>
      <w:r>
        <w:rPr>
          <w:rFonts w:hint="eastAsia" w:ascii="宋体" w:eastAsia="宋体"/>
          <w:szCs w:val="21"/>
        </w:rPr>
        <w:t xml:space="preserve"> </w:t>
      </w:r>
      <w:r>
        <w:rPr>
          <w:rFonts w:hint="eastAsia" w:ascii="宋体" w:eastAsia="宋体"/>
          <w:kern w:val="0"/>
          <w:szCs w:val="21"/>
        </w:rPr>
        <w:t>财政部 民政部 中国残疾人联合会关于促进残疾人就业 政府采购政策的通知（财库〔2017〕141号）</w:t>
      </w:r>
    </w:p>
    <w:p w14:paraId="338EF50B">
      <w:pPr>
        <w:widowControl/>
        <w:snapToGrid w:val="0"/>
        <w:spacing w:line="360" w:lineRule="auto"/>
        <w:ind w:firstLine="555"/>
        <w:jc w:val="left"/>
        <w:rPr>
          <w:rFonts w:ascii="宋体" w:eastAsia="宋体"/>
          <w:szCs w:val="21"/>
        </w:rPr>
      </w:pPr>
      <w:r>
        <w:rPr>
          <w:rFonts w:hint="eastAsia" w:ascii="宋体" w:eastAsia="宋体"/>
          <w:kern w:val="0"/>
          <w:szCs w:val="21"/>
        </w:rPr>
        <w:t>(5)</w:t>
      </w:r>
      <w:r>
        <w:rPr>
          <w:rFonts w:hint="eastAsia" w:ascii="宋体" w:eastAsia="宋体"/>
          <w:szCs w:val="21"/>
        </w:rPr>
        <w:t xml:space="preserve"> </w:t>
      </w:r>
      <w:r>
        <w:rPr>
          <w:rFonts w:hint="eastAsia" w:ascii="宋体" w:eastAsia="宋体"/>
          <w:kern w:val="0"/>
          <w:szCs w:val="21"/>
        </w:rPr>
        <w:t>财政部 司法部关于政府采购支持监狱企业发展有关问题的通知（财库〔2014〕68号）</w:t>
      </w:r>
    </w:p>
    <w:p w14:paraId="0FFFCCF3">
      <w:pPr>
        <w:widowControl/>
        <w:snapToGrid w:val="0"/>
        <w:spacing w:line="360" w:lineRule="auto"/>
        <w:jc w:val="left"/>
        <w:rPr>
          <w:rFonts w:ascii="宋体" w:eastAsia="宋体"/>
          <w:kern w:val="0"/>
          <w:szCs w:val="21"/>
        </w:rPr>
      </w:pPr>
      <w:r>
        <w:rPr>
          <w:rFonts w:hint="eastAsia" w:ascii="宋体" w:eastAsia="宋体"/>
          <w:kern w:val="0"/>
          <w:szCs w:val="21"/>
        </w:rPr>
        <w:t xml:space="preserve">    3、请依照招标文件提供的格式和内容填写声明函，不要随意变更格式；声明函不需要盖章或签字；满足多项优惠政策的投标人，不重复享受多项价格扣除政策。</w:t>
      </w:r>
    </w:p>
    <w:p w14:paraId="13A2658B">
      <w:pPr>
        <w:widowControl/>
        <w:snapToGrid w:val="0"/>
        <w:spacing w:line="360" w:lineRule="auto"/>
        <w:jc w:val="left"/>
        <w:rPr>
          <w:rFonts w:ascii="宋体" w:eastAsia="宋体"/>
          <w:kern w:val="0"/>
          <w:szCs w:val="21"/>
        </w:rPr>
      </w:pPr>
      <w:r>
        <w:rPr>
          <w:rFonts w:hint="eastAsia" w:ascii="宋体" w:eastAsia="宋体"/>
          <w:kern w:val="0"/>
          <w:szCs w:val="21"/>
        </w:rPr>
        <w:t xml:space="preserve">    4、《中小企业声明函》填写要求：</w:t>
      </w:r>
    </w:p>
    <w:p w14:paraId="614E2768">
      <w:pPr>
        <w:widowControl/>
        <w:snapToGrid w:val="0"/>
        <w:spacing w:line="360" w:lineRule="auto"/>
        <w:jc w:val="left"/>
        <w:rPr>
          <w:rFonts w:ascii="宋体" w:eastAsia="宋体"/>
          <w:kern w:val="0"/>
          <w:szCs w:val="21"/>
        </w:rPr>
      </w:pPr>
      <w:r>
        <w:rPr>
          <w:rFonts w:hint="eastAsia" w:ascii="宋体" w:eastAsia="宋体"/>
          <w:kern w:val="0"/>
          <w:szCs w:val="21"/>
        </w:rPr>
        <w:t xml:space="preserve">    （1）在“单位名称”下划线处如实填写</w:t>
      </w:r>
      <w:r>
        <w:rPr>
          <w:rFonts w:hint="eastAsia" w:ascii="宋体" w:eastAsia="宋体"/>
          <w:b/>
          <w:color w:val="FF0000"/>
          <w:kern w:val="0"/>
          <w:szCs w:val="21"/>
        </w:rPr>
        <w:t>采购人名称（详见采购人信息，非采购代理机构）</w:t>
      </w:r>
      <w:r>
        <w:rPr>
          <w:rFonts w:hint="eastAsia" w:ascii="宋体" w:eastAsia="宋体"/>
          <w:kern w:val="0"/>
          <w:szCs w:val="21"/>
        </w:rPr>
        <w:t>；</w:t>
      </w:r>
    </w:p>
    <w:p w14:paraId="74752AB9">
      <w:pPr>
        <w:widowControl/>
        <w:snapToGrid w:val="0"/>
        <w:spacing w:line="360" w:lineRule="auto"/>
        <w:jc w:val="left"/>
        <w:rPr>
          <w:rFonts w:ascii="宋体" w:eastAsia="宋体"/>
          <w:kern w:val="0"/>
          <w:szCs w:val="21"/>
        </w:rPr>
      </w:pPr>
      <w:r>
        <w:rPr>
          <w:rFonts w:hint="eastAsia" w:ascii="宋体" w:eastAsia="宋体"/>
          <w:kern w:val="0"/>
          <w:szCs w:val="21"/>
        </w:rPr>
        <w:t xml:space="preserve">    （2）在“项目名称”下划线处如实填写</w:t>
      </w:r>
      <w:r>
        <w:rPr>
          <w:rFonts w:hint="eastAsia" w:ascii="宋体" w:eastAsia="宋体"/>
          <w:b/>
          <w:color w:val="FF0000"/>
          <w:kern w:val="0"/>
          <w:szCs w:val="21"/>
        </w:rPr>
        <w:t>采购项目名称</w:t>
      </w:r>
      <w:r>
        <w:rPr>
          <w:rFonts w:hint="eastAsia" w:ascii="宋体" w:eastAsia="宋体"/>
          <w:kern w:val="0"/>
          <w:szCs w:val="21"/>
        </w:rPr>
        <w:t>；</w:t>
      </w:r>
    </w:p>
    <w:p w14:paraId="70F446DB">
      <w:pPr>
        <w:widowControl/>
        <w:snapToGrid w:val="0"/>
        <w:spacing w:line="360" w:lineRule="auto"/>
        <w:jc w:val="left"/>
        <w:rPr>
          <w:rFonts w:ascii="宋体" w:eastAsia="宋体"/>
          <w:kern w:val="0"/>
          <w:szCs w:val="21"/>
        </w:rPr>
      </w:pPr>
      <w:r>
        <w:rPr>
          <w:rFonts w:hint="eastAsia" w:ascii="宋体" w:eastAsia="宋体"/>
          <w:kern w:val="0"/>
          <w:szCs w:val="21"/>
        </w:rPr>
        <w:t xml:space="preserve">    （3）在“标的名称”下划线处填写所</w:t>
      </w:r>
      <w:r>
        <w:rPr>
          <w:rFonts w:hint="eastAsia" w:ascii="宋体" w:eastAsia="宋体"/>
          <w:b/>
          <w:color w:val="FF0000"/>
          <w:kern w:val="0"/>
          <w:szCs w:val="21"/>
        </w:rPr>
        <w:t>采购标的（货物或服务或工程）的具体名称</w:t>
      </w:r>
      <w:r>
        <w:rPr>
          <w:rFonts w:hint="eastAsia" w:ascii="宋体" w:eastAsia="宋体"/>
          <w:b/>
          <w:bCs/>
          <w:color w:val="FF0000"/>
          <w:kern w:val="0"/>
          <w:szCs w:val="21"/>
        </w:rPr>
        <w:t>（具体详见第二章招标项目需求，如涉及多项标的，投标人需逐项进行响应）</w:t>
      </w:r>
      <w:r>
        <w:rPr>
          <w:rFonts w:hint="eastAsia" w:ascii="宋体" w:eastAsia="宋体"/>
          <w:kern w:val="0"/>
          <w:szCs w:val="21"/>
        </w:rPr>
        <w:t>；</w:t>
      </w:r>
    </w:p>
    <w:p w14:paraId="44E48C7E">
      <w:pPr>
        <w:widowControl/>
        <w:snapToGrid w:val="0"/>
        <w:spacing w:line="360" w:lineRule="auto"/>
        <w:jc w:val="left"/>
        <w:rPr>
          <w:rFonts w:ascii="宋体" w:eastAsia="宋体"/>
          <w:kern w:val="0"/>
          <w:szCs w:val="21"/>
        </w:rPr>
      </w:pPr>
      <w:r>
        <w:rPr>
          <w:rFonts w:hint="eastAsia" w:ascii="宋体" w:eastAsia="宋体"/>
          <w:kern w:val="0"/>
          <w:szCs w:val="21"/>
        </w:rPr>
        <w:t xml:space="preserve">    （4）在“</w:t>
      </w:r>
      <w:r>
        <w:rPr>
          <w:rFonts w:ascii="宋体" w:eastAsia="宋体"/>
          <w:szCs w:val="21"/>
        </w:rPr>
        <w:t>采购文件</w:t>
      </w:r>
      <w:r>
        <w:rPr>
          <w:rFonts w:hint="eastAsia" w:ascii="宋体" w:eastAsia="宋体"/>
          <w:kern w:val="0"/>
          <w:szCs w:val="21"/>
        </w:rPr>
        <w:t>中明确的所属行业”下划线处填写</w:t>
      </w:r>
      <w:r>
        <w:rPr>
          <w:rFonts w:hint="eastAsia" w:ascii="宋体" w:eastAsia="宋体"/>
          <w:b/>
          <w:color w:val="FF0000"/>
          <w:kern w:val="0"/>
          <w:szCs w:val="21"/>
        </w:rPr>
        <w:t>采购文件规定的本项目所属行业</w:t>
      </w:r>
      <w:r>
        <w:rPr>
          <w:rFonts w:hint="eastAsia" w:ascii="宋体" w:eastAsia="宋体"/>
          <w:b/>
          <w:bCs/>
          <w:color w:val="FF0000"/>
          <w:kern w:val="0"/>
          <w:szCs w:val="21"/>
        </w:rPr>
        <w:t>（详见其它关键信息）</w:t>
      </w:r>
      <w:r>
        <w:rPr>
          <w:rFonts w:hint="eastAsia" w:ascii="宋体" w:eastAsia="宋体"/>
          <w:kern w:val="0"/>
          <w:szCs w:val="21"/>
        </w:rPr>
        <w:t>；</w:t>
      </w:r>
    </w:p>
    <w:p w14:paraId="46150826">
      <w:pPr>
        <w:widowControl/>
        <w:snapToGrid w:val="0"/>
        <w:spacing w:line="360" w:lineRule="auto"/>
        <w:ind w:left="0" w:firstLine="420" w:firstLineChars="200"/>
        <w:jc w:val="left"/>
        <w:rPr>
          <w:rFonts w:ascii="宋体" w:eastAsia="宋体"/>
          <w:kern w:val="0"/>
          <w:szCs w:val="21"/>
        </w:rPr>
      </w:pPr>
      <w:r>
        <w:rPr>
          <w:rFonts w:hint="eastAsia" w:ascii="宋体" w:eastAsia="宋体"/>
          <w:kern w:val="0"/>
          <w:szCs w:val="21"/>
        </w:rPr>
        <w:t>（5）在“从业人员”、“营业收入”、“资产总额”下划线处如实填写</w:t>
      </w:r>
      <w:r>
        <w:rPr>
          <w:rFonts w:hint="eastAsia" w:ascii="宋体" w:eastAsia="宋体"/>
          <w:b/>
          <w:color w:val="FF0000"/>
          <w:kern w:val="0"/>
          <w:szCs w:val="21"/>
        </w:rPr>
        <w:t>制造商（货物类）或承接企业（服务或工程类）</w:t>
      </w:r>
      <w:r>
        <w:rPr>
          <w:rFonts w:hint="eastAsia" w:ascii="宋体" w:eastAsia="宋体"/>
          <w:kern w:val="0"/>
          <w:szCs w:val="21"/>
        </w:rPr>
        <w:t>上一年度</w:t>
      </w:r>
      <w:r>
        <w:rPr>
          <w:rFonts w:hint="eastAsia" w:ascii="宋体" w:eastAsia="宋体"/>
          <w:kern w:val="0"/>
          <w:szCs w:val="21"/>
          <w:lang w:eastAsia="zh-CN"/>
        </w:rPr>
        <w:t>数据</w:t>
      </w:r>
      <w:r>
        <w:rPr>
          <w:rFonts w:hint="eastAsia" w:ascii="宋体" w:eastAsia="宋体"/>
          <w:kern w:val="0"/>
          <w:szCs w:val="21"/>
        </w:rPr>
        <w:t>，从业人员、资产总额指标以上年度末数据为依据</w:t>
      </w:r>
      <w:r>
        <w:rPr>
          <w:rFonts w:hint="eastAsia" w:ascii="宋体" w:eastAsia="宋体"/>
          <w:kern w:val="0"/>
          <w:szCs w:val="21"/>
          <w:lang w:eastAsia="zh-CN"/>
        </w:rPr>
        <w:t>，</w:t>
      </w:r>
      <w:r>
        <w:rPr>
          <w:rFonts w:hint="eastAsia" w:ascii="宋体" w:eastAsia="宋体"/>
          <w:kern w:val="0"/>
          <w:szCs w:val="21"/>
        </w:rPr>
        <w:t>营业收入指标以上年度累计数据为依据。无上年度数据的新成立企业可不填报。</w:t>
      </w:r>
      <w:r>
        <w:rPr>
          <w:rFonts w:hint="eastAsia" w:ascii="宋体" w:eastAsia="宋体"/>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宋体" w:eastAsia="宋体"/>
          <w:kern w:val="0"/>
          <w:szCs w:val="21"/>
        </w:rPr>
        <w:t>；</w:t>
      </w:r>
    </w:p>
    <w:p w14:paraId="03B61D92">
      <w:pPr>
        <w:widowControl/>
        <w:snapToGrid w:val="0"/>
        <w:spacing w:line="360" w:lineRule="auto"/>
        <w:ind w:left="0" w:firstLine="420" w:firstLineChars="200"/>
        <w:jc w:val="left"/>
        <w:rPr>
          <w:rFonts w:hint="eastAsia" w:ascii="宋体" w:eastAsia="宋体" w:cs="Arial"/>
          <w:kern w:val="0"/>
          <w:szCs w:val="21"/>
        </w:rPr>
      </w:pPr>
      <w:r>
        <w:rPr>
          <w:rFonts w:hint="eastAsia" w:ascii="宋体" w:eastAsia="宋体"/>
          <w:kern w:val="0"/>
          <w:szCs w:val="21"/>
        </w:rPr>
        <w:t>（6）在“中型企业、小型企业、微型企业”下划线处</w:t>
      </w:r>
      <w:r>
        <w:rPr>
          <w:rFonts w:hint="eastAsia" w:ascii="宋体"/>
          <w:kern w:val="0"/>
          <w:szCs w:val="21"/>
        </w:rPr>
        <w:t>如实依照工信部联企业〔2011〕300号文填写相应的企业类型</w:t>
      </w:r>
      <w:r>
        <w:rPr>
          <w:rFonts w:hint="eastAsia" w:ascii="宋体" w:eastAsia="宋体" w:cs="Arial"/>
          <w:kern w:val="0"/>
          <w:szCs w:val="21"/>
        </w:rPr>
        <w:t>；</w:t>
      </w:r>
    </w:p>
    <w:p w14:paraId="6F035ED2">
      <w:pPr>
        <w:widowControl/>
        <w:snapToGrid w:val="0"/>
        <w:spacing w:line="360" w:lineRule="auto"/>
        <w:ind w:left="0" w:firstLine="422" w:firstLineChars="200"/>
        <w:jc w:val="left"/>
        <w:rPr>
          <w:rFonts w:ascii="宋体" w:eastAsia="宋体"/>
          <w:b/>
          <w:color w:val="FF0000"/>
          <w:kern w:val="0"/>
          <w:szCs w:val="21"/>
        </w:rPr>
      </w:pPr>
      <w:r>
        <w:rPr>
          <w:rFonts w:hint="eastAsia" w:ascii="宋体" w:eastAsia="宋体"/>
          <w:b/>
          <w:color w:val="FF0000"/>
          <w:kern w:val="0"/>
          <w:szCs w:val="21"/>
        </w:rPr>
        <w:t>（7）如为联合体</w:t>
      </w:r>
      <w:r>
        <w:rPr>
          <w:rFonts w:hint="eastAsia" w:ascii="宋体" w:eastAsia="宋体"/>
          <w:b/>
          <w:color w:val="FF0000"/>
          <w:kern w:val="0"/>
          <w:szCs w:val="21"/>
          <w:lang w:eastAsia="zh-CN"/>
        </w:rPr>
        <w:t>响应</w:t>
      </w:r>
      <w:r>
        <w:rPr>
          <w:rFonts w:hint="eastAsia" w:ascii="宋体" w:eastAsia="宋体"/>
          <w:b/>
          <w:color w:val="FF0000"/>
          <w:kern w:val="0"/>
          <w:szCs w:val="21"/>
        </w:rPr>
        <w:t>或以分包形式</w:t>
      </w:r>
      <w:r>
        <w:rPr>
          <w:rFonts w:hint="eastAsia" w:ascii="宋体" w:eastAsia="宋体"/>
          <w:b/>
          <w:color w:val="FF0000"/>
          <w:kern w:val="0"/>
          <w:szCs w:val="21"/>
          <w:lang w:eastAsia="zh-CN"/>
        </w:rPr>
        <w:t>响应</w:t>
      </w:r>
      <w:r>
        <w:rPr>
          <w:rFonts w:hint="eastAsia" w:ascii="宋体" w:eastAsia="宋体"/>
          <w:b/>
          <w:color w:val="FF0000"/>
          <w:kern w:val="0"/>
          <w:szCs w:val="21"/>
        </w:rPr>
        <w:t>的，需分别填写每家中小企业的企业名称、从业人员、营业收入、资产总额、企业类别（中型企业、小型企业、微型企业）等信息；</w:t>
      </w:r>
    </w:p>
    <w:p w14:paraId="1BB04C45">
      <w:pPr>
        <w:widowControl/>
        <w:snapToGrid w:val="0"/>
        <w:spacing w:line="360" w:lineRule="auto"/>
        <w:ind w:left="0" w:firstLine="422" w:firstLineChars="200"/>
        <w:jc w:val="left"/>
        <w:rPr>
          <w:rFonts w:hint="eastAsia" w:ascii="Calibri" w:hAnsi="Calibri" w:eastAsia="宋体" w:cs="Arial"/>
          <w:szCs w:val="22"/>
          <w:lang w:eastAsia="zh-CN"/>
        </w:rPr>
      </w:pPr>
      <w:r>
        <w:rPr>
          <w:rFonts w:hint="eastAsia" w:ascii="宋体" w:eastAsia="宋体"/>
          <w:b/>
          <w:color w:val="FF0000"/>
          <w:kern w:val="0"/>
          <w:szCs w:val="21"/>
        </w:rPr>
        <w:t>（8）</w:t>
      </w:r>
      <w:r>
        <w:rPr>
          <w:rFonts w:hint="eastAsia" w:ascii="Calibri" w:hAnsi="Calibri" w:eastAsia="宋体" w:cs="Arial"/>
          <w:b/>
          <w:color w:val="FF0000"/>
          <w:szCs w:val="22"/>
        </w:rPr>
        <w:t>《中小企业声明函》中制造商、承接/承建企业所属行业应当与</w:t>
      </w:r>
      <w:r>
        <w:rPr>
          <w:rFonts w:hint="eastAsia" w:ascii="Calibri" w:hAnsi="Calibri" w:eastAsia="宋体" w:cs="Arial"/>
          <w:b/>
          <w:color w:val="FF0000"/>
          <w:szCs w:val="22"/>
          <w:lang w:eastAsia="zh-CN"/>
        </w:rPr>
        <w:t>采购</w:t>
      </w:r>
      <w:r>
        <w:rPr>
          <w:rFonts w:hint="eastAsia" w:ascii="Calibri" w:hAnsi="Calibri" w:eastAsia="宋体" w:cs="Arial"/>
          <w:b/>
          <w:color w:val="FF0000"/>
          <w:szCs w:val="22"/>
        </w:rPr>
        <w:t>文件要求的行业相一致</w:t>
      </w:r>
      <w:r>
        <w:rPr>
          <w:rFonts w:hint="eastAsia" w:ascii="Calibri" w:hAnsi="Calibri" w:eastAsia="宋体" w:cs="Arial"/>
          <w:color w:val="FF0000"/>
          <w:szCs w:val="22"/>
          <w:lang w:eastAsia="zh-CN"/>
        </w:rPr>
        <w:t>。</w:t>
      </w:r>
      <w:r>
        <w:rPr>
          <w:rFonts w:hint="eastAsia" w:ascii="Calibri" w:hAnsi="Calibri" w:eastAsia="宋体" w:cs="Arial"/>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Calibri" w:hAnsi="Calibri" w:eastAsia="宋体" w:cs="Arial"/>
          <w:szCs w:val="22"/>
          <w:lang w:eastAsia="zh-CN"/>
        </w:rPr>
        <w:t>；</w:t>
      </w:r>
    </w:p>
    <w:p w14:paraId="39C567B5">
      <w:pPr>
        <w:widowControl/>
        <w:snapToGrid w:val="0"/>
        <w:spacing w:line="360" w:lineRule="auto"/>
        <w:ind w:left="0" w:firstLine="422" w:firstLineChars="200"/>
        <w:jc w:val="left"/>
        <w:rPr>
          <w:rFonts w:hint="eastAsia" w:ascii="宋体" w:eastAsia="宋体" w:cs="Arial"/>
          <w:kern w:val="0"/>
          <w:szCs w:val="21"/>
          <w:lang w:eastAsia="zh-CN"/>
        </w:rPr>
      </w:pPr>
      <w:r>
        <w:rPr>
          <w:rFonts w:hint="eastAsia" w:ascii="宋体" w:eastAsia="宋体" w:cs="Arial"/>
          <w:b/>
          <w:bCs/>
          <w:color w:val="FF0000"/>
          <w:kern w:val="0"/>
          <w:szCs w:val="21"/>
          <w:lang w:eastAsia="zh-CN"/>
        </w:rPr>
        <w:t>（</w:t>
      </w:r>
      <w:r>
        <w:rPr>
          <w:rFonts w:hint="eastAsia" w:ascii="宋体" w:eastAsia="宋体" w:cs="Arial"/>
          <w:b/>
          <w:bCs/>
          <w:color w:val="FF0000"/>
          <w:kern w:val="0"/>
          <w:szCs w:val="21"/>
          <w:lang w:val="en-US" w:eastAsia="zh-CN"/>
        </w:rPr>
        <w:t>9</w:t>
      </w:r>
      <w:r>
        <w:rPr>
          <w:rFonts w:hint="eastAsia" w:ascii="宋体" w:eastAsia="宋体" w:cs="Arial"/>
          <w:b/>
          <w:bCs/>
          <w:color w:val="FF0000"/>
          <w:kern w:val="0"/>
          <w:szCs w:val="21"/>
          <w:lang w:eastAsia="zh-CN"/>
        </w:rPr>
        <w:t>）声明函正文中“企业名称”应填写投标（响应）的货物制造商/服务承接商/工程承建商（根据项目属性确定）。</w:t>
      </w:r>
      <w:r>
        <w:rPr>
          <w:rFonts w:hint="eastAsia" w:ascii="宋体" w:eastAsia="宋体" w:cs="Arial"/>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eastAsia="宋体" w:cs="Arial"/>
          <w:b/>
          <w:bCs/>
          <w:color w:val="FF0000"/>
          <w:kern w:val="0"/>
          <w:szCs w:val="21"/>
          <w:lang w:eastAsia="zh-CN"/>
        </w:rPr>
        <w:t>【《中小企业声明函》由参加政府采购活动的供应商出具；“</w:t>
      </w:r>
      <w:r>
        <w:rPr>
          <w:rFonts w:hint="eastAsia" w:ascii="宋体"/>
          <w:b/>
          <w:bCs/>
          <w:color w:val="FF0000"/>
          <w:szCs w:val="21"/>
        </w:rPr>
        <w:t>企业名称</w:t>
      </w:r>
      <w:r>
        <w:rPr>
          <w:rFonts w:ascii="宋体"/>
          <w:b/>
          <w:bCs/>
          <w:color w:val="FF0000"/>
          <w:szCs w:val="21"/>
        </w:rPr>
        <w:t>(</w:t>
      </w:r>
      <w:r>
        <w:rPr>
          <w:rFonts w:hint="eastAsia" w:ascii="宋体"/>
          <w:b/>
          <w:bCs/>
          <w:color w:val="FF0000"/>
          <w:szCs w:val="21"/>
        </w:rPr>
        <w:t>公章</w:t>
      </w:r>
      <w:r>
        <w:rPr>
          <w:rFonts w:ascii="宋体"/>
          <w:b/>
          <w:bCs/>
          <w:color w:val="FF0000"/>
          <w:szCs w:val="21"/>
        </w:rPr>
        <w:t>)</w:t>
      </w:r>
      <w:r>
        <w:rPr>
          <w:rFonts w:hint="eastAsia" w:ascii="宋体" w:eastAsia="宋体" w:cs="Arial"/>
          <w:b/>
          <w:bCs/>
          <w:color w:val="FF0000"/>
          <w:kern w:val="0"/>
          <w:szCs w:val="21"/>
          <w:lang w:eastAsia="zh-CN"/>
        </w:rPr>
        <w:t>”填写投标（响应）供应商名称】</w:t>
      </w:r>
      <w:r>
        <w:rPr>
          <w:rFonts w:hint="eastAsia" w:ascii="宋体" w:eastAsia="宋体" w:cs="Arial"/>
          <w:kern w:val="0"/>
          <w:szCs w:val="21"/>
          <w:lang w:eastAsia="zh-CN"/>
        </w:rPr>
        <w:t>；</w:t>
      </w:r>
    </w:p>
    <w:p w14:paraId="530181E9">
      <w:pPr>
        <w:widowControl/>
        <w:snapToGrid w:val="0"/>
        <w:spacing w:line="360" w:lineRule="auto"/>
        <w:ind w:firstLine="424" w:firstLineChars="202"/>
        <w:jc w:val="left"/>
        <w:rPr>
          <w:b/>
          <w:bCs/>
        </w:rPr>
      </w:pPr>
      <w:r>
        <w:rPr>
          <w:rFonts w:hint="eastAsia" w:ascii="宋体" w:eastAsia="宋体" w:cs="Arial"/>
          <w:kern w:val="0"/>
          <w:szCs w:val="21"/>
          <w:lang w:eastAsia="zh-CN"/>
        </w:rPr>
        <w:t>（</w:t>
      </w:r>
      <w:r>
        <w:rPr>
          <w:rFonts w:hint="eastAsia" w:ascii="宋体" w:eastAsia="宋体" w:cs="Arial"/>
          <w:kern w:val="0"/>
          <w:szCs w:val="21"/>
          <w:lang w:val="en-US" w:eastAsia="zh-CN"/>
        </w:rPr>
        <w:t>10</w:t>
      </w:r>
      <w:r>
        <w:rPr>
          <w:rFonts w:hint="eastAsia" w:ascii="宋体" w:eastAsia="宋体" w:cs="Arial"/>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r>
        <w:rPr>
          <w:rFonts w:hint="eastAsia" w:ascii="宋体" w:eastAsia="宋体"/>
          <w:kern w:val="0"/>
          <w:szCs w:val="21"/>
        </w:rPr>
        <w:t xml:space="preserve">   </w:t>
      </w:r>
    </w:p>
    <w:p w14:paraId="1931A3E6">
      <w:pPr>
        <w:jc w:val="left"/>
        <w:outlineLvl w:val="3"/>
        <w:rPr>
          <w:rFonts w:ascii="黑体" w:eastAsia="黑体"/>
          <w:bCs/>
          <w:kern w:val="0"/>
          <w:sz w:val="24"/>
          <w:szCs w:val="32"/>
        </w:rPr>
      </w:pPr>
    </w:p>
    <w:p w14:paraId="45A312D4">
      <w:pPr>
        <w:spacing w:after="60"/>
        <w:jc w:val="center"/>
        <w:outlineLvl w:val="3"/>
        <w:rPr>
          <w:b/>
          <w:sz w:val="24"/>
        </w:rPr>
      </w:pPr>
      <w:r>
        <w:rPr>
          <w:rFonts w:hint="eastAsia"/>
          <w:b/>
          <w:sz w:val="24"/>
        </w:rPr>
        <w:t>1、中小企业声明函</w:t>
      </w:r>
    </w:p>
    <w:p w14:paraId="5F3ADC13">
      <w:pPr>
        <w:pStyle w:val="18"/>
        <w:spacing w:line="302" w:lineRule="auto"/>
        <w:ind w:right="-51" w:firstLine="412"/>
        <w:rPr>
          <w:rFonts w:ascii="宋体" w:eastAsia="宋体"/>
          <w:b w:val="0"/>
          <w:sz w:val="21"/>
          <w:szCs w:val="21"/>
        </w:rPr>
      </w:pPr>
      <w:r>
        <w:rPr>
          <w:rFonts w:ascii="宋体" w:eastAsia="宋体"/>
          <w:b w:val="0"/>
          <w:sz w:val="21"/>
          <w:szCs w:val="21"/>
        </w:rPr>
        <w:t>本公司（联合体）郑重声明，根据《政府采购促进中小企业发展管理办法》（财库</w:t>
      </w:r>
      <w:r>
        <w:rPr>
          <w:rFonts w:hint="eastAsia" w:ascii="宋体" w:eastAsia="宋体"/>
          <w:b w:val="0"/>
          <w:sz w:val="21"/>
          <w:szCs w:val="21"/>
        </w:rPr>
        <w:t>﹝</w:t>
      </w:r>
      <w:r>
        <w:rPr>
          <w:rFonts w:ascii="宋体" w:eastAsia="宋体"/>
          <w:b w:val="0"/>
          <w:sz w:val="21"/>
          <w:szCs w:val="21"/>
        </w:rPr>
        <w:t>2020</w:t>
      </w:r>
      <w:r>
        <w:rPr>
          <w:rFonts w:hint="eastAsia" w:ascii="宋体" w:eastAsia="宋体"/>
          <w:b w:val="0"/>
          <w:sz w:val="21"/>
          <w:szCs w:val="21"/>
        </w:rPr>
        <w:t>﹞</w:t>
      </w:r>
      <w:r>
        <w:rPr>
          <w:rFonts w:ascii="宋体" w:eastAsia="宋体"/>
          <w:b w:val="0"/>
          <w:sz w:val="21"/>
          <w:szCs w:val="21"/>
        </w:rPr>
        <w:t>46 号）的规定，本公司（联合体）参加</w:t>
      </w:r>
      <w:r>
        <w:rPr>
          <w:rFonts w:ascii="宋体" w:eastAsia="宋体"/>
          <w:b w:val="0"/>
          <w:sz w:val="21"/>
          <w:szCs w:val="21"/>
          <w:u w:val="single"/>
        </w:rPr>
        <w:t>（单位名称）</w:t>
      </w:r>
      <w:r>
        <w:rPr>
          <w:rFonts w:ascii="宋体" w:eastAsia="宋体"/>
          <w:b w:val="0"/>
          <w:sz w:val="21"/>
          <w:szCs w:val="21"/>
        </w:rPr>
        <w:t>的</w:t>
      </w:r>
      <w:r>
        <w:rPr>
          <w:rFonts w:ascii="宋体" w:eastAsia="宋体"/>
          <w:b w:val="0"/>
          <w:sz w:val="21"/>
          <w:szCs w:val="21"/>
          <w:u w:val="single"/>
        </w:rPr>
        <w:t>（项目名称）</w:t>
      </w:r>
      <w:r>
        <w:rPr>
          <w:rFonts w:ascii="宋体" w:eastAsia="宋体"/>
          <w:b w:val="0"/>
          <w:sz w:val="21"/>
          <w:szCs w:val="21"/>
        </w:rPr>
        <w:t>采购活动，</w:t>
      </w:r>
      <w:r>
        <w:rPr>
          <w:rFonts w:hint="eastAsia" w:ascii="宋体" w:eastAsia="宋体"/>
          <w:b w:val="0"/>
          <w:sz w:val="21"/>
          <w:szCs w:val="21"/>
        </w:rPr>
        <w:t>提供的货物全部由符合政策要求的中小企业制造</w:t>
      </w:r>
      <w:r>
        <w:rPr>
          <w:rFonts w:ascii="宋体" w:eastAsia="宋体"/>
          <w:b w:val="0"/>
          <w:sz w:val="21"/>
          <w:szCs w:val="21"/>
        </w:rPr>
        <w:t>。相关企业（含联合体中的中小企业、签订分包意向协议的中小企业）的具体情况如下：</w:t>
      </w:r>
    </w:p>
    <w:p w14:paraId="71F898D5">
      <w:pPr>
        <w:pStyle w:val="18"/>
        <w:spacing w:line="302" w:lineRule="auto"/>
        <w:ind w:right="-51" w:firstLine="412"/>
        <w:rPr>
          <w:rFonts w:ascii="宋体" w:eastAsia="宋体"/>
          <w:b w:val="0"/>
          <w:sz w:val="21"/>
          <w:szCs w:val="21"/>
        </w:rPr>
      </w:pPr>
      <w:r>
        <w:rPr>
          <w:rFonts w:hint="eastAsia" w:ascii="宋体" w:eastAsia="宋体"/>
          <w:b w:val="0"/>
          <w:sz w:val="21"/>
          <w:szCs w:val="21"/>
        </w:rPr>
        <w:t xml:space="preserve">1. </w:t>
      </w:r>
      <w:r>
        <w:rPr>
          <w:rFonts w:ascii="宋体" w:eastAsia="宋体"/>
          <w:b w:val="0"/>
          <w:sz w:val="21"/>
          <w:szCs w:val="21"/>
          <w:u w:val="single"/>
        </w:rPr>
        <w:t>（标的名称）</w:t>
      </w:r>
      <w:r>
        <w:rPr>
          <w:rFonts w:ascii="宋体" w:eastAsia="宋体"/>
          <w:b w:val="0"/>
          <w:sz w:val="21"/>
          <w:szCs w:val="21"/>
        </w:rPr>
        <w:t>，属于</w:t>
      </w:r>
      <w:r>
        <w:rPr>
          <w:rFonts w:ascii="宋体" w:eastAsia="宋体"/>
          <w:b w:val="0"/>
          <w:sz w:val="21"/>
          <w:szCs w:val="21"/>
          <w:u w:val="single"/>
        </w:rPr>
        <w:t>（采购文件中明确的所属行业）</w:t>
      </w:r>
      <w:r>
        <w:rPr>
          <w:rFonts w:hint="eastAsia" w:ascii="宋体" w:eastAsia="宋体"/>
          <w:b w:val="0"/>
          <w:sz w:val="21"/>
          <w:szCs w:val="21"/>
        </w:rPr>
        <w:t>行业</w:t>
      </w:r>
      <w:r>
        <w:rPr>
          <w:rFonts w:ascii="宋体" w:eastAsia="宋体"/>
          <w:b w:val="0"/>
          <w:sz w:val="21"/>
          <w:szCs w:val="21"/>
        </w:rPr>
        <w:t>；</w:t>
      </w:r>
      <w:r>
        <w:rPr>
          <w:rFonts w:hint="eastAsia" w:ascii="宋体" w:eastAsia="宋体"/>
          <w:b w:val="0"/>
          <w:sz w:val="21"/>
          <w:szCs w:val="21"/>
        </w:rPr>
        <w:t>制造商</w:t>
      </w:r>
      <w:r>
        <w:rPr>
          <w:rFonts w:ascii="宋体" w:eastAsia="宋体"/>
          <w:b w:val="0"/>
          <w:sz w:val="21"/>
          <w:szCs w:val="21"/>
        </w:rPr>
        <w:t>为</w:t>
      </w:r>
      <w:r>
        <w:rPr>
          <w:rFonts w:ascii="宋体" w:eastAsia="宋体"/>
          <w:b w:val="0"/>
          <w:sz w:val="21"/>
          <w:szCs w:val="21"/>
          <w:u w:val="single"/>
        </w:rPr>
        <w:t>（企业名称）</w:t>
      </w:r>
      <w:r>
        <w:rPr>
          <w:rFonts w:ascii="宋体" w:eastAsia="宋体"/>
          <w:b w:val="0"/>
          <w:sz w:val="21"/>
          <w:szCs w:val="21"/>
        </w:rPr>
        <w:t>，从业人员</w:t>
      </w:r>
      <w:r>
        <w:rPr>
          <w:rFonts w:ascii="宋体" w:eastAsia="宋体"/>
          <w:b w:val="0"/>
          <w:sz w:val="21"/>
          <w:szCs w:val="21"/>
          <w:u w:val="single"/>
        </w:rPr>
        <w:t xml:space="preserve"> </w:t>
      </w:r>
      <w:r>
        <w:rPr>
          <w:rFonts w:ascii="宋体" w:eastAsia="宋体"/>
          <w:b w:val="0"/>
          <w:sz w:val="21"/>
          <w:szCs w:val="21"/>
          <w:u w:val="single"/>
        </w:rPr>
        <w:tab/>
      </w:r>
      <w:r>
        <w:rPr>
          <w:rFonts w:ascii="宋体" w:eastAsia="宋体"/>
          <w:b w:val="0"/>
          <w:sz w:val="21"/>
          <w:szCs w:val="21"/>
        </w:rPr>
        <w:t>人，营业收入为</w:t>
      </w:r>
      <w:r>
        <w:rPr>
          <w:rFonts w:ascii="宋体" w:eastAsia="宋体"/>
          <w:b w:val="0"/>
          <w:sz w:val="21"/>
          <w:szCs w:val="21"/>
          <w:u w:val="single"/>
        </w:rPr>
        <w:t xml:space="preserve"> </w:t>
      </w:r>
      <w:r>
        <w:rPr>
          <w:rFonts w:ascii="宋体" w:eastAsia="宋体"/>
          <w:b w:val="0"/>
          <w:sz w:val="21"/>
          <w:szCs w:val="21"/>
          <w:u w:val="single"/>
        </w:rPr>
        <w:tab/>
      </w:r>
      <w:r>
        <w:rPr>
          <w:rFonts w:hint="eastAsia" w:ascii="宋体" w:eastAsia="宋体"/>
          <w:b w:val="0"/>
          <w:sz w:val="21"/>
          <w:szCs w:val="21"/>
          <w:u w:val="single"/>
        </w:rPr>
        <w:t xml:space="preserve">  </w:t>
      </w:r>
      <w:r>
        <w:rPr>
          <w:rFonts w:ascii="宋体" w:eastAsia="宋体"/>
          <w:b w:val="0"/>
          <w:sz w:val="21"/>
          <w:szCs w:val="21"/>
        </w:rPr>
        <w:t>万元，资产总额为</w:t>
      </w:r>
      <w:r>
        <w:rPr>
          <w:rFonts w:hint="eastAsia" w:ascii="宋体" w:eastAsia="宋体"/>
          <w:b w:val="0"/>
          <w:sz w:val="21"/>
          <w:szCs w:val="21"/>
          <w:u w:val="single"/>
        </w:rPr>
        <w:t xml:space="preserve">     </w:t>
      </w:r>
      <w:r>
        <w:rPr>
          <w:rFonts w:ascii="宋体" w:eastAsia="宋体"/>
          <w:b w:val="0"/>
          <w:sz w:val="21"/>
          <w:szCs w:val="21"/>
        </w:rPr>
        <w:t>万元，属于</w:t>
      </w:r>
      <w:r>
        <w:rPr>
          <w:rFonts w:ascii="宋体" w:eastAsia="宋体"/>
          <w:b w:val="0"/>
          <w:sz w:val="21"/>
          <w:szCs w:val="21"/>
          <w:u w:val="single"/>
        </w:rPr>
        <w:t>（中型企业、小型企业、微型企业）</w:t>
      </w:r>
      <w:r>
        <w:rPr>
          <w:rFonts w:ascii="宋体" w:eastAsia="宋体"/>
          <w:b w:val="0"/>
          <w:sz w:val="21"/>
          <w:szCs w:val="21"/>
        </w:rPr>
        <w:t>；</w:t>
      </w:r>
    </w:p>
    <w:p w14:paraId="0E3643E5">
      <w:pPr>
        <w:pStyle w:val="18"/>
        <w:spacing w:line="302" w:lineRule="auto"/>
        <w:ind w:right="-51" w:firstLine="412"/>
        <w:rPr>
          <w:rFonts w:ascii="宋体" w:eastAsia="宋体"/>
          <w:b w:val="0"/>
          <w:sz w:val="21"/>
          <w:szCs w:val="21"/>
        </w:rPr>
      </w:pPr>
      <w:r>
        <w:rPr>
          <w:rFonts w:hint="eastAsia" w:ascii="宋体" w:eastAsia="宋体"/>
          <w:b w:val="0"/>
          <w:sz w:val="21"/>
          <w:szCs w:val="21"/>
        </w:rPr>
        <w:t xml:space="preserve">2. </w:t>
      </w:r>
      <w:r>
        <w:rPr>
          <w:rFonts w:ascii="宋体" w:eastAsia="宋体"/>
          <w:b w:val="0"/>
          <w:sz w:val="21"/>
          <w:szCs w:val="21"/>
          <w:u w:val="single"/>
        </w:rPr>
        <w:t>（标的名称）</w:t>
      </w:r>
      <w:r>
        <w:rPr>
          <w:rFonts w:ascii="宋体" w:eastAsia="宋体"/>
          <w:b w:val="0"/>
          <w:sz w:val="21"/>
          <w:szCs w:val="21"/>
        </w:rPr>
        <w:t>，属于</w:t>
      </w:r>
      <w:r>
        <w:rPr>
          <w:rFonts w:ascii="宋体" w:eastAsia="宋体"/>
          <w:b w:val="0"/>
          <w:sz w:val="21"/>
          <w:szCs w:val="21"/>
          <w:u w:val="single"/>
        </w:rPr>
        <w:t>（采购文件中明确的所属行业）</w:t>
      </w:r>
      <w:r>
        <w:rPr>
          <w:rFonts w:hint="eastAsia" w:ascii="宋体" w:eastAsia="宋体"/>
          <w:b w:val="0"/>
          <w:sz w:val="21"/>
          <w:szCs w:val="21"/>
        </w:rPr>
        <w:t>行业</w:t>
      </w:r>
      <w:r>
        <w:rPr>
          <w:rFonts w:ascii="宋体" w:eastAsia="宋体"/>
          <w:b w:val="0"/>
          <w:sz w:val="21"/>
          <w:szCs w:val="21"/>
        </w:rPr>
        <w:t>；</w:t>
      </w:r>
      <w:r>
        <w:rPr>
          <w:rFonts w:hint="eastAsia" w:ascii="宋体" w:eastAsia="宋体"/>
          <w:b w:val="0"/>
          <w:sz w:val="21"/>
          <w:szCs w:val="21"/>
        </w:rPr>
        <w:t>制造商</w:t>
      </w:r>
      <w:r>
        <w:rPr>
          <w:rFonts w:ascii="宋体" w:eastAsia="宋体"/>
          <w:b w:val="0"/>
          <w:sz w:val="21"/>
          <w:szCs w:val="21"/>
        </w:rPr>
        <w:t>为</w:t>
      </w:r>
      <w:r>
        <w:rPr>
          <w:rFonts w:ascii="宋体" w:eastAsia="宋体"/>
          <w:b w:val="0"/>
          <w:sz w:val="21"/>
          <w:szCs w:val="21"/>
          <w:u w:val="single"/>
        </w:rPr>
        <w:t>（企业名称）</w:t>
      </w:r>
      <w:r>
        <w:rPr>
          <w:rFonts w:ascii="宋体" w:eastAsia="宋体"/>
          <w:b w:val="0"/>
          <w:sz w:val="21"/>
          <w:szCs w:val="21"/>
        </w:rPr>
        <w:t>，从业人员</w:t>
      </w:r>
      <w:r>
        <w:rPr>
          <w:rFonts w:ascii="宋体" w:eastAsia="宋体"/>
          <w:b w:val="0"/>
          <w:sz w:val="21"/>
          <w:szCs w:val="21"/>
          <w:u w:val="single"/>
        </w:rPr>
        <w:t xml:space="preserve"> </w:t>
      </w:r>
      <w:r>
        <w:rPr>
          <w:rFonts w:ascii="宋体" w:eastAsia="宋体"/>
          <w:b w:val="0"/>
          <w:sz w:val="21"/>
          <w:szCs w:val="21"/>
          <w:u w:val="single"/>
        </w:rPr>
        <w:tab/>
      </w:r>
      <w:r>
        <w:rPr>
          <w:rFonts w:ascii="宋体" w:eastAsia="宋体"/>
          <w:b w:val="0"/>
          <w:sz w:val="21"/>
          <w:szCs w:val="21"/>
        </w:rPr>
        <w:t>人，营业收入为</w:t>
      </w:r>
      <w:r>
        <w:rPr>
          <w:rFonts w:ascii="宋体" w:eastAsia="宋体"/>
          <w:b w:val="0"/>
          <w:sz w:val="21"/>
          <w:szCs w:val="21"/>
          <w:u w:val="single"/>
        </w:rPr>
        <w:t xml:space="preserve"> </w:t>
      </w:r>
      <w:r>
        <w:rPr>
          <w:rFonts w:ascii="宋体" w:eastAsia="宋体"/>
          <w:b w:val="0"/>
          <w:sz w:val="21"/>
          <w:szCs w:val="21"/>
          <w:u w:val="single"/>
        </w:rPr>
        <w:tab/>
      </w:r>
      <w:r>
        <w:rPr>
          <w:rFonts w:hint="eastAsia" w:ascii="宋体" w:eastAsia="宋体"/>
          <w:b w:val="0"/>
          <w:sz w:val="21"/>
          <w:szCs w:val="21"/>
          <w:u w:val="single"/>
        </w:rPr>
        <w:t xml:space="preserve">  </w:t>
      </w:r>
      <w:r>
        <w:rPr>
          <w:rFonts w:ascii="宋体" w:eastAsia="宋体"/>
          <w:b w:val="0"/>
          <w:sz w:val="21"/>
          <w:szCs w:val="21"/>
        </w:rPr>
        <w:t>万元，资产总额为</w:t>
      </w:r>
      <w:r>
        <w:rPr>
          <w:rFonts w:hint="eastAsia" w:ascii="宋体" w:eastAsia="宋体"/>
          <w:b w:val="0"/>
          <w:sz w:val="21"/>
          <w:szCs w:val="21"/>
          <w:u w:val="single"/>
        </w:rPr>
        <w:t xml:space="preserve">     </w:t>
      </w:r>
      <w:r>
        <w:rPr>
          <w:rFonts w:ascii="宋体" w:eastAsia="宋体"/>
          <w:b w:val="0"/>
          <w:sz w:val="21"/>
          <w:szCs w:val="21"/>
        </w:rPr>
        <w:t>万元，属于</w:t>
      </w:r>
      <w:r>
        <w:rPr>
          <w:rFonts w:ascii="宋体" w:eastAsia="宋体"/>
          <w:b w:val="0"/>
          <w:sz w:val="21"/>
          <w:szCs w:val="21"/>
          <w:u w:val="single"/>
        </w:rPr>
        <w:t>（中型企业、小型企业、微型企业）</w:t>
      </w:r>
      <w:r>
        <w:rPr>
          <w:rFonts w:ascii="宋体" w:eastAsia="宋体"/>
          <w:b w:val="0"/>
          <w:sz w:val="21"/>
          <w:szCs w:val="21"/>
        </w:rPr>
        <w:t>；</w:t>
      </w:r>
    </w:p>
    <w:p w14:paraId="52E52E8D">
      <w:pPr>
        <w:pStyle w:val="18"/>
        <w:spacing w:before="11"/>
        <w:ind w:right="-51" w:firstLine="424" w:firstLineChars="202"/>
        <w:rPr>
          <w:rFonts w:ascii="宋体" w:eastAsia="宋体"/>
          <w:b w:val="0"/>
          <w:sz w:val="21"/>
          <w:szCs w:val="21"/>
        </w:rPr>
      </w:pPr>
      <w:r>
        <w:rPr>
          <w:rFonts w:ascii="宋体" w:eastAsia="宋体"/>
          <w:b w:val="0"/>
          <w:sz w:val="21"/>
          <w:szCs w:val="21"/>
        </w:rPr>
        <w:t>……</w:t>
      </w:r>
    </w:p>
    <w:p w14:paraId="4A04EEF2">
      <w:pPr>
        <w:pStyle w:val="18"/>
        <w:spacing w:before="108" w:line="305" w:lineRule="auto"/>
        <w:ind w:right="-51" w:firstLine="408"/>
        <w:rPr>
          <w:rFonts w:ascii="宋体" w:eastAsia="宋体"/>
          <w:b w:val="0"/>
          <w:sz w:val="21"/>
          <w:szCs w:val="21"/>
        </w:rPr>
      </w:pPr>
      <w:r>
        <w:rPr>
          <w:rFonts w:ascii="宋体" w:eastAsia="宋体"/>
          <w:b w:val="0"/>
          <w:sz w:val="21"/>
          <w:szCs w:val="21"/>
        </w:rPr>
        <w:t>以上企业，不属于大企业的分支机构，不存在控股股东为大企业的情形，也不存在与大企业的负责人为同一人的情形。</w:t>
      </w:r>
    </w:p>
    <w:p w14:paraId="1E34BFCB">
      <w:pPr>
        <w:spacing w:line="360" w:lineRule="exact"/>
        <w:ind w:right="-51" w:firstLine="420" w:firstLineChars="200"/>
        <w:rPr>
          <w:rFonts w:ascii="宋体" w:eastAsia="宋体"/>
          <w:szCs w:val="21"/>
        </w:rPr>
      </w:pPr>
      <w:r>
        <w:rPr>
          <w:rFonts w:ascii="宋体" w:eastAsia="宋体"/>
          <w:szCs w:val="21"/>
        </w:rPr>
        <w:t>本企业对上述声明内容的真实性负责。如有虚假，将依法承担相应责任</w:t>
      </w:r>
      <w:r>
        <w:rPr>
          <w:rFonts w:hint="eastAsia" w:ascii="宋体" w:eastAsia="宋体"/>
          <w:szCs w:val="21"/>
        </w:rPr>
        <w:t>。</w:t>
      </w:r>
    </w:p>
    <w:p w14:paraId="3445B087">
      <w:pPr>
        <w:spacing w:line="360" w:lineRule="exact"/>
        <w:ind w:right="-51" w:firstLine="420" w:firstLineChars="200"/>
        <w:rPr>
          <w:rFonts w:ascii="宋体" w:eastAsia="宋体"/>
          <w:szCs w:val="21"/>
        </w:rPr>
      </w:pPr>
      <w:r>
        <w:rPr>
          <w:rFonts w:hint="eastAsia" w:ascii="宋体" w:eastAsia="宋体"/>
          <w:szCs w:val="21"/>
        </w:rPr>
        <w:t>本企业已知悉《政府采购促进中小企业发展管理办法》（财库〔2020〕46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3034ECE4">
      <w:pPr>
        <w:spacing w:line="360" w:lineRule="exact"/>
        <w:ind w:firstLine="420" w:firstLineChars="200"/>
        <w:rPr>
          <w:rFonts w:ascii="宋体" w:eastAsia="宋体"/>
          <w:szCs w:val="21"/>
        </w:rPr>
      </w:pPr>
    </w:p>
    <w:p w14:paraId="3A17E35D">
      <w:pPr>
        <w:spacing w:line="360" w:lineRule="exact"/>
        <w:jc w:val="center"/>
      </w:pPr>
      <w:r>
        <w:rPr>
          <w:rFonts w:hint="eastAsia"/>
          <w:szCs w:val="21"/>
        </w:rPr>
        <w:t xml:space="preserve">                           企业名称：</w:t>
      </w:r>
    </w:p>
    <w:p w14:paraId="2D357D1E">
      <w:pPr>
        <w:spacing w:line="360" w:lineRule="exact"/>
        <w:rPr>
          <w:rFonts w:ascii="宋体"/>
          <w:szCs w:val="21"/>
        </w:rPr>
      </w:pPr>
      <w:r>
        <w:rPr>
          <w:rFonts w:hint="eastAsia" w:ascii="宋体"/>
          <w:szCs w:val="21"/>
        </w:rPr>
        <w:t xml:space="preserve">                                                      日期：</w:t>
      </w:r>
      <w:r>
        <w:rPr>
          <w:rFonts w:hint="eastAsia" w:ascii="宋体"/>
          <w:szCs w:val="21"/>
          <w:u w:val="single"/>
        </w:rPr>
        <w:t xml:space="preserve">    </w:t>
      </w:r>
      <w:r>
        <w:rPr>
          <w:rFonts w:hint="eastAsia" w:ascii="宋体"/>
          <w:szCs w:val="21"/>
        </w:rPr>
        <w:t>年</w:t>
      </w:r>
      <w:r>
        <w:rPr>
          <w:rFonts w:hint="eastAsia" w:ascii="宋体"/>
          <w:szCs w:val="21"/>
          <w:u w:val="single"/>
        </w:rPr>
        <w:t xml:space="preserve">   </w:t>
      </w:r>
      <w:r>
        <w:rPr>
          <w:rFonts w:hint="eastAsia" w:ascii="宋体"/>
          <w:szCs w:val="21"/>
        </w:rPr>
        <w:t>月</w:t>
      </w:r>
      <w:r>
        <w:rPr>
          <w:rFonts w:hint="eastAsia" w:ascii="宋体"/>
          <w:szCs w:val="21"/>
          <w:u w:val="single"/>
        </w:rPr>
        <w:t xml:space="preserve">   </w:t>
      </w:r>
      <w:r>
        <w:rPr>
          <w:rFonts w:hint="eastAsia" w:ascii="宋体"/>
          <w:szCs w:val="21"/>
        </w:rPr>
        <w:t>日</w:t>
      </w:r>
    </w:p>
    <w:p w14:paraId="75A351BF">
      <w:pPr>
        <w:spacing w:line="360" w:lineRule="exact"/>
        <w:ind w:firstLine="420" w:firstLineChars="200"/>
        <w:rPr>
          <w:rFonts w:ascii="宋体"/>
          <w:szCs w:val="21"/>
        </w:rPr>
      </w:pPr>
      <w:r>
        <w:rPr>
          <w:rFonts w:hint="eastAsia" w:ascii="宋体"/>
          <w:szCs w:val="21"/>
        </w:rPr>
        <w:t>备注：</w:t>
      </w:r>
    </w:p>
    <w:p w14:paraId="4F65FF37">
      <w:pPr>
        <w:spacing w:line="360" w:lineRule="exact"/>
        <w:ind w:firstLine="420" w:firstLineChars="200"/>
        <w:rPr>
          <w:rFonts w:ascii="宋体"/>
          <w:szCs w:val="21"/>
        </w:rPr>
      </w:pPr>
      <w:r>
        <w:rPr>
          <w:rFonts w:hint="eastAsia" w:ascii="宋体"/>
          <w:szCs w:val="21"/>
        </w:rPr>
        <w:t>1、填写前请认真阅读《工业和信息化部、国家统计局、国家发展和改革委员会、财政部关于印发中小企业划型标准规定的通知》</w:t>
      </w:r>
      <w:r>
        <w:rPr>
          <w:rFonts w:ascii="宋体"/>
          <w:szCs w:val="21"/>
        </w:rPr>
        <w:t>(</w:t>
      </w:r>
      <w:r>
        <w:rPr>
          <w:rFonts w:hint="eastAsia" w:ascii="宋体"/>
          <w:szCs w:val="21"/>
        </w:rPr>
        <w:t>工信部联企业〔</w:t>
      </w:r>
      <w:r>
        <w:rPr>
          <w:rFonts w:ascii="宋体"/>
          <w:szCs w:val="21"/>
        </w:rPr>
        <w:t>2011</w:t>
      </w:r>
      <w:r>
        <w:rPr>
          <w:rFonts w:hint="eastAsia" w:ascii="宋体"/>
          <w:szCs w:val="21"/>
        </w:rPr>
        <w:t>〕</w:t>
      </w:r>
      <w:r>
        <w:rPr>
          <w:rFonts w:ascii="宋体"/>
          <w:szCs w:val="21"/>
        </w:rPr>
        <w:t>300</w:t>
      </w:r>
      <w:r>
        <w:rPr>
          <w:rFonts w:hint="eastAsia" w:ascii="宋体"/>
          <w:szCs w:val="21"/>
        </w:rPr>
        <w:t>号</w:t>
      </w:r>
      <w:r>
        <w:rPr>
          <w:rFonts w:ascii="宋体"/>
          <w:szCs w:val="21"/>
        </w:rPr>
        <w:t>)</w:t>
      </w:r>
      <w:r>
        <w:rPr>
          <w:rFonts w:hint="eastAsia" w:ascii="宋体"/>
          <w:szCs w:val="21"/>
        </w:rPr>
        <w:t>和《财政部 工业和信息化部关于印发《政府采购促进中小企业发展管理办法》的通知》</w:t>
      </w:r>
      <w:r>
        <w:rPr>
          <w:rFonts w:ascii="宋体"/>
          <w:szCs w:val="21"/>
        </w:rPr>
        <w:t>(</w:t>
      </w:r>
      <w:r>
        <w:rPr>
          <w:rFonts w:hint="eastAsia" w:ascii="宋体"/>
          <w:szCs w:val="21"/>
        </w:rPr>
        <w:t>财库〔2020〕46号</w:t>
      </w:r>
      <w:r>
        <w:rPr>
          <w:rFonts w:ascii="宋体"/>
          <w:szCs w:val="21"/>
        </w:rPr>
        <w:t>)</w:t>
      </w:r>
      <w:r>
        <w:rPr>
          <w:rFonts w:hint="eastAsia" w:ascii="宋体"/>
          <w:szCs w:val="21"/>
        </w:rPr>
        <w:t>相关规定。</w:t>
      </w:r>
    </w:p>
    <w:p w14:paraId="210AB635">
      <w:pPr>
        <w:spacing w:line="360" w:lineRule="exact"/>
        <w:ind w:firstLine="420" w:firstLineChars="200"/>
        <w:rPr>
          <w:rFonts w:ascii="宋体"/>
          <w:szCs w:val="21"/>
        </w:rPr>
      </w:pPr>
      <w:r>
        <w:rPr>
          <w:rFonts w:hint="eastAsia" w:ascii="宋体"/>
          <w:szCs w:val="21"/>
        </w:rPr>
        <w:t>2、从业人员、营业收入、资产总额填报上一年度数据，无上一年度数据的新成立企业可不填报。</w:t>
      </w:r>
    </w:p>
    <w:p w14:paraId="1ECC6635">
      <w:pPr>
        <w:spacing w:line="360" w:lineRule="exact"/>
        <w:ind w:firstLine="424" w:firstLineChars="202"/>
        <w:rPr>
          <w:rFonts w:ascii="宋体"/>
          <w:szCs w:val="21"/>
        </w:rPr>
      </w:pPr>
      <w:r>
        <w:rPr>
          <w:rFonts w:hint="eastAsia" w:ascii="宋体"/>
          <w:szCs w:val="21"/>
        </w:rPr>
        <w:t>3、供应商提供的货物既有中小企业制造货物，也有大型企业制造货物的，不享受中小企业扶持政策。</w:t>
      </w:r>
    </w:p>
    <w:p w14:paraId="723D1F2B">
      <w:pPr>
        <w:spacing w:line="360" w:lineRule="exact"/>
        <w:ind w:firstLine="424" w:firstLineChars="202"/>
        <w:rPr>
          <w:rFonts w:ascii="宋体"/>
          <w:szCs w:val="21"/>
        </w:rPr>
      </w:pPr>
      <w:r>
        <w:rPr>
          <w:rFonts w:hint="eastAsia" w:ascii="宋体" w:eastAsia="宋体" w:cs="Arial"/>
          <w:szCs w:val="22"/>
        </w:rPr>
        <w:t>4、中小企业参加政府采购活动，应当按照国务院批准的《中小企业划型标准规定》（工信部联企业〔2011〕300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宋体" w:eastAsia="宋体" w:cs="Arial"/>
          <w:b/>
          <w:szCs w:val="22"/>
        </w:rPr>
        <w:t>《中小企业声明函》中相关企业所属行业应当与采购标的所属行业相一致</w:t>
      </w:r>
      <w:r>
        <w:rPr>
          <w:rFonts w:hint="eastAsia" w:ascii="宋体" w:eastAsia="宋体" w:cs="Arial"/>
          <w:szCs w:val="22"/>
        </w:rPr>
        <w:t>。</w:t>
      </w:r>
    </w:p>
    <w:p w14:paraId="55F1FB8A">
      <w:pPr>
        <w:spacing w:line="360" w:lineRule="exact"/>
        <w:ind w:firstLine="424" w:firstLineChars="202"/>
        <w:rPr>
          <w:rFonts w:ascii="Calibri" w:hAnsi="Calibri" w:eastAsia="宋体" w:cs="Arial"/>
          <w:szCs w:val="22"/>
        </w:rPr>
      </w:pPr>
      <w:r>
        <w:rPr>
          <w:rFonts w:hint="eastAsia" w:ascii="Calibri" w:hAnsi="Calibri" w:eastAsia="宋体" w:cs="Arial"/>
          <w:szCs w:val="22"/>
        </w:rPr>
        <w:t>5、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2A50F9CA">
      <w:pPr>
        <w:spacing w:line="360" w:lineRule="exact"/>
        <w:ind w:firstLine="420" w:firstLineChars="200"/>
        <w:rPr>
          <w:rFonts w:ascii="宋体"/>
          <w:szCs w:val="21"/>
        </w:rPr>
      </w:pPr>
    </w:p>
    <w:p w14:paraId="299FCB13">
      <w:pPr>
        <w:spacing w:after="60" w:line="360" w:lineRule="exact"/>
        <w:jc w:val="center"/>
        <w:outlineLvl w:val="3"/>
        <w:rPr>
          <w:b/>
          <w:sz w:val="24"/>
        </w:rPr>
      </w:pPr>
      <w:r>
        <w:rPr>
          <w:rFonts w:hint="eastAsia"/>
          <w:b/>
          <w:sz w:val="24"/>
        </w:rPr>
        <w:t>2、监狱企业声明函</w:t>
      </w:r>
    </w:p>
    <w:p w14:paraId="32D4A0FB">
      <w:pPr>
        <w:spacing w:after="60" w:line="360" w:lineRule="exact"/>
        <w:ind w:firstLine="420" w:firstLineChars="200"/>
        <w:rPr>
          <w:rFonts w:ascii="宋体"/>
          <w:szCs w:val="21"/>
        </w:rPr>
      </w:pPr>
      <w:r>
        <w:rPr>
          <w:rFonts w:hint="eastAsia" w:ascii="宋体"/>
          <w:szCs w:val="21"/>
        </w:rPr>
        <w:t>本单位郑重声明，根据《关于政府采购支持监狱企业发展有关问题的通知》（财库〔</w:t>
      </w:r>
      <w:r>
        <w:rPr>
          <w:rFonts w:ascii="宋体"/>
          <w:szCs w:val="21"/>
        </w:rPr>
        <w:t>2014</w:t>
      </w:r>
      <w:r>
        <w:rPr>
          <w:rFonts w:hint="eastAsia" w:ascii="宋体"/>
          <w:szCs w:val="21"/>
        </w:rPr>
        <w:t>〕</w:t>
      </w:r>
      <w:r>
        <w:rPr>
          <w:rFonts w:ascii="宋体"/>
          <w:szCs w:val="21"/>
        </w:rPr>
        <w:t>68</w:t>
      </w:r>
      <w:r>
        <w:rPr>
          <w:rFonts w:hint="eastAsia" w:ascii="宋体"/>
          <w:szCs w:val="21"/>
        </w:rPr>
        <w:t>号）的规定，本单位为符合条件的监狱企业。</w:t>
      </w:r>
    </w:p>
    <w:p w14:paraId="3953E8F5">
      <w:pPr>
        <w:spacing w:after="60" w:line="360" w:lineRule="exact"/>
        <w:ind w:firstLine="420" w:firstLineChars="200"/>
        <w:rPr>
          <w:rFonts w:ascii="宋体"/>
          <w:szCs w:val="21"/>
        </w:rPr>
      </w:pPr>
      <w:r>
        <w:rPr>
          <w:rFonts w:hint="eastAsia" w:ascii="宋体"/>
          <w:szCs w:val="21"/>
        </w:rPr>
        <w:t>本单位对上述声明的真实性负责。如有虚假，将依法承担相应责任。</w:t>
      </w:r>
    </w:p>
    <w:p w14:paraId="409ABC6C">
      <w:pPr>
        <w:spacing w:line="360" w:lineRule="exact"/>
        <w:jc w:val="center"/>
      </w:pPr>
      <w:r>
        <w:rPr>
          <w:rFonts w:hint="eastAsia"/>
          <w:szCs w:val="21"/>
        </w:rPr>
        <w:t xml:space="preserve">                             单位名称：</w:t>
      </w:r>
    </w:p>
    <w:p w14:paraId="0D686747">
      <w:pPr>
        <w:spacing w:line="360" w:lineRule="exact"/>
        <w:rPr>
          <w:rFonts w:ascii="宋体"/>
          <w:szCs w:val="21"/>
        </w:rPr>
      </w:pPr>
      <w:r>
        <w:rPr>
          <w:rFonts w:hint="eastAsia" w:ascii="宋体"/>
          <w:szCs w:val="21"/>
        </w:rPr>
        <w:t xml:space="preserve">                                                      日期：</w:t>
      </w:r>
      <w:r>
        <w:rPr>
          <w:rFonts w:hint="eastAsia" w:ascii="宋体"/>
          <w:szCs w:val="21"/>
          <w:u w:val="single"/>
        </w:rPr>
        <w:t xml:space="preserve">    </w:t>
      </w:r>
      <w:r>
        <w:rPr>
          <w:rFonts w:hint="eastAsia" w:ascii="宋体"/>
          <w:szCs w:val="21"/>
        </w:rPr>
        <w:t>年</w:t>
      </w:r>
      <w:r>
        <w:rPr>
          <w:rFonts w:hint="eastAsia" w:ascii="宋体"/>
          <w:szCs w:val="21"/>
          <w:u w:val="single"/>
        </w:rPr>
        <w:t xml:space="preserve">   </w:t>
      </w:r>
      <w:r>
        <w:rPr>
          <w:rFonts w:hint="eastAsia" w:ascii="宋体"/>
          <w:szCs w:val="21"/>
        </w:rPr>
        <w:t>月</w:t>
      </w:r>
      <w:r>
        <w:rPr>
          <w:rFonts w:hint="eastAsia" w:ascii="宋体"/>
          <w:szCs w:val="21"/>
          <w:u w:val="single"/>
        </w:rPr>
        <w:t xml:space="preserve">   </w:t>
      </w:r>
      <w:r>
        <w:rPr>
          <w:rFonts w:hint="eastAsia" w:ascii="宋体"/>
          <w:szCs w:val="21"/>
        </w:rPr>
        <w:t>日</w:t>
      </w:r>
    </w:p>
    <w:p w14:paraId="355BF1CB">
      <w:pPr>
        <w:spacing w:line="360" w:lineRule="exact"/>
        <w:rPr>
          <w:rFonts w:ascii="宋体"/>
          <w:b/>
          <w:szCs w:val="21"/>
        </w:rPr>
      </w:pPr>
      <w:r>
        <w:rPr>
          <w:rFonts w:hint="eastAsia" w:ascii="宋体"/>
          <w:szCs w:val="21"/>
        </w:rPr>
        <w:t xml:space="preserve">                                    </w:t>
      </w:r>
    </w:p>
    <w:p w14:paraId="64A55573">
      <w:pPr>
        <w:spacing w:after="60" w:line="360" w:lineRule="exact"/>
        <w:ind w:firstLine="422" w:firstLineChars="200"/>
        <w:rPr>
          <w:rFonts w:ascii="宋体"/>
          <w:b/>
          <w:szCs w:val="21"/>
        </w:rPr>
      </w:pPr>
      <w:r>
        <w:rPr>
          <w:rFonts w:hint="eastAsia" w:ascii="宋体"/>
          <w:b/>
          <w:szCs w:val="21"/>
        </w:rPr>
        <w:t>附：省级以上监狱管理局、戒毒管理局（含新疆生产建设兵团）出具的监狱企业证明文件。</w:t>
      </w:r>
    </w:p>
    <w:p w14:paraId="336F5E77">
      <w:pPr>
        <w:spacing w:line="360" w:lineRule="exact"/>
        <w:ind w:firstLine="424" w:firstLineChars="202"/>
        <w:rPr>
          <w:rFonts w:ascii="宋体"/>
          <w:szCs w:val="21"/>
        </w:rPr>
      </w:pPr>
      <w:r>
        <w:rPr>
          <w:rFonts w:hint="eastAsia" w:ascii="宋体"/>
          <w:szCs w:val="21"/>
        </w:rPr>
        <w:t>备注：填写前请认真阅读《财政部 司法部关于政府采购支持监狱企业发展有关问题的通知》（财库〔</w:t>
      </w:r>
      <w:r>
        <w:rPr>
          <w:rFonts w:ascii="宋体"/>
          <w:szCs w:val="21"/>
        </w:rPr>
        <w:t>2014</w:t>
      </w:r>
      <w:r>
        <w:rPr>
          <w:rFonts w:hint="eastAsia" w:ascii="宋体"/>
          <w:szCs w:val="21"/>
        </w:rPr>
        <w:t>〕</w:t>
      </w:r>
      <w:r>
        <w:rPr>
          <w:rFonts w:ascii="宋体"/>
          <w:szCs w:val="21"/>
        </w:rPr>
        <w:t>68</w:t>
      </w:r>
      <w:r>
        <w:rPr>
          <w:rFonts w:hint="eastAsia" w:asci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19377FC6">
      <w:pPr>
        <w:spacing w:after="60" w:line="360" w:lineRule="exact"/>
        <w:ind w:firstLine="420" w:firstLineChars="200"/>
        <w:rPr>
          <w:rFonts w:ascii="宋体"/>
          <w:szCs w:val="21"/>
        </w:rPr>
      </w:pPr>
      <w:r>
        <w:rPr>
          <w:rFonts w:hint="eastAsia" w:ascii="宋体"/>
          <w:szCs w:val="21"/>
        </w:rPr>
        <w:t xml:space="preserve">                                     </w:t>
      </w:r>
    </w:p>
    <w:p w14:paraId="765587B9">
      <w:pPr>
        <w:spacing w:after="60" w:line="360" w:lineRule="exact"/>
        <w:jc w:val="center"/>
        <w:outlineLvl w:val="3"/>
        <w:rPr>
          <w:b/>
          <w:bCs/>
        </w:rPr>
      </w:pPr>
      <w:r>
        <w:rPr>
          <w:rFonts w:hint="eastAsia"/>
          <w:b/>
          <w:sz w:val="24"/>
        </w:rPr>
        <w:t>3、残疾人福利性单位声明函</w:t>
      </w:r>
    </w:p>
    <w:p w14:paraId="0214CC47">
      <w:pPr>
        <w:spacing w:line="360" w:lineRule="exact"/>
        <w:ind w:firstLine="420" w:firstLineChars="200"/>
        <w:jc w:val="left"/>
        <w:rPr>
          <w:rFonts w:ascii="宋体"/>
          <w:szCs w:val="21"/>
        </w:rPr>
      </w:pPr>
      <w:r>
        <w:rPr>
          <w:rFonts w:hint="eastAsia" w:asci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szCs w:val="21"/>
          <w:u w:val="single"/>
        </w:rPr>
        <w:t xml:space="preserve">    </w:t>
      </w:r>
      <w:r>
        <w:rPr>
          <w:rFonts w:hint="eastAsia" w:ascii="宋体"/>
          <w:szCs w:val="21"/>
        </w:rPr>
        <w:t>单位的</w:t>
      </w:r>
      <w:r>
        <w:rPr>
          <w:rFonts w:hint="eastAsia" w:ascii="宋体"/>
          <w:szCs w:val="21"/>
          <w:u w:val="single"/>
        </w:rPr>
        <w:t xml:space="preserve">            </w:t>
      </w:r>
      <w:r>
        <w:rPr>
          <w:rFonts w:hint="eastAsia" w:ascii="宋体"/>
          <w:szCs w:val="21"/>
        </w:rPr>
        <w:t>项目采购活动提供本单位制造的货物，或者提供其他残疾人福利性单位制造的货物（不包括使用非残疾人福利性单位注册商标的货物）。</w:t>
      </w:r>
    </w:p>
    <w:p w14:paraId="74BCB18D">
      <w:pPr>
        <w:spacing w:after="60" w:line="360" w:lineRule="exact"/>
        <w:ind w:firstLine="420" w:firstLineChars="200"/>
        <w:rPr>
          <w:rFonts w:ascii="宋体"/>
          <w:szCs w:val="21"/>
        </w:rPr>
      </w:pPr>
      <w:r>
        <w:rPr>
          <w:rFonts w:hint="eastAsia" w:ascii="宋体"/>
          <w:szCs w:val="21"/>
        </w:rPr>
        <w:t>本单位对上述声明的真实性负责。如有虚假，将依法承担相应责任。</w:t>
      </w:r>
    </w:p>
    <w:p w14:paraId="00C84DAD">
      <w:pPr>
        <w:spacing w:after="60" w:line="360" w:lineRule="exact"/>
        <w:ind w:firstLine="420" w:firstLineChars="200"/>
        <w:rPr>
          <w:rFonts w:ascii="宋体"/>
          <w:szCs w:val="21"/>
        </w:rPr>
      </w:pPr>
      <w:r>
        <w:rPr>
          <w:rFonts w:hint="eastAsia" w:ascii="宋体"/>
          <w:szCs w:val="21"/>
        </w:rPr>
        <w:t>本单位知悉《关于促进残疾人就业政府采购政策的通知》（财库〔2017〕141 号）的规定，承诺提供的声明函内容是真实的，如提供声明函内容不实，则依法追究相关法律责任。</w:t>
      </w:r>
    </w:p>
    <w:p w14:paraId="75596C80">
      <w:pPr>
        <w:pStyle w:val="18"/>
      </w:pPr>
    </w:p>
    <w:p w14:paraId="229992BB">
      <w:pPr>
        <w:spacing w:line="360" w:lineRule="exact"/>
        <w:jc w:val="center"/>
      </w:pPr>
      <w:r>
        <w:rPr>
          <w:rFonts w:hint="eastAsia"/>
          <w:szCs w:val="21"/>
        </w:rPr>
        <w:t xml:space="preserve">                             单位名称：</w:t>
      </w:r>
    </w:p>
    <w:p w14:paraId="147D0716">
      <w:pPr>
        <w:spacing w:line="360" w:lineRule="exact"/>
        <w:rPr>
          <w:rFonts w:ascii="宋体"/>
          <w:szCs w:val="21"/>
        </w:rPr>
      </w:pPr>
      <w:r>
        <w:rPr>
          <w:rFonts w:hint="eastAsia" w:ascii="宋体"/>
          <w:szCs w:val="21"/>
        </w:rPr>
        <w:t xml:space="preserve">                                                      日期：</w:t>
      </w:r>
      <w:r>
        <w:rPr>
          <w:rFonts w:hint="eastAsia" w:ascii="宋体"/>
          <w:szCs w:val="21"/>
          <w:u w:val="single"/>
        </w:rPr>
        <w:t xml:space="preserve">    </w:t>
      </w:r>
      <w:r>
        <w:rPr>
          <w:rFonts w:hint="eastAsia" w:ascii="宋体"/>
          <w:szCs w:val="21"/>
        </w:rPr>
        <w:t>年</w:t>
      </w:r>
      <w:r>
        <w:rPr>
          <w:rFonts w:hint="eastAsia" w:ascii="宋体"/>
          <w:szCs w:val="21"/>
          <w:u w:val="single"/>
        </w:rPr>
        <w:t xml:space="preserve">   </w:t>
      </w:r>
      <w:r>
        <w:rPr>
          <w:rFonts w:hint="eastAsia" w:ascii="宋体"/>
          <w:szCs w:val="21"/>
        </w:rPr>
        <w:t>月</w:t>
      </w:r>
      <w:r>
        <w:rPr>
          <w:rFonts w:hint="eastAsia" w:ascii="宋体"/>
          <w:szCs w:val="21"/>
          <w:u w:val="single"/>
        </w:rPr>
        <w:t xml:space="preserve">   </w:t>
      </w:r>
      <w:r>
        <w:rPr>
          <w:rFonts w:hint="eastAsia" w:ascii="宋体"/>
          <w:szCs w:val="21"/>
        </w:rPr>
        <w:t>日</w:t>
      </w:r>
    </w:p>
    <w:p w14:paraId="60334439">
      <w:pPr>
        <w:pStyle w:val="18"/>
      </w:pPr>
    </w:p>
    <w:p w14:paraId="5B4DD40D">
      <w:pPr>
        <w:spacing w:line="360" w:lineRule="exact"/>
        <w:ind w:firstLine="424" w:firstLineChars="202"/>
        <w:rPr>
          <w:rFonts w:ascii="宋体"/>
          <w:szCs w:val="21"/>
        </w:rPr>
      </w:pPr>
      <w:r>
        <w:rPr>
          <w:rFonts w:hint="eastAsia" w:ascii="宋体"/>
          <w:szCs w:val="21"/>
        </w:rPr>
        <w:t>备注：填写前请认真阅读《财政部 民政部 中国残疾人联合会关于促进残疾人就业政府采购政策的通知》</w:t>
      </w:r>
      <w:r>
        <w:rPr>
          <w:rFonts w:ascii="宋体"/>
          <w:szCs w:val="21"/>
        </w:rPr>
        <w:t>(</w:t>
      </w:r>
      <w:r>
        <w:rPr>
          <w:rFonts w:hint="eastAsia" w:ascii="宋体"/>
          <w:szCs w:val="21"/>
        </w:rPr>
        <w:t>财库〔2017〕141号</w:t>
      </w:r>
      <w:r>
        <w:rPr>
          <w:rFonts w:ascii="宋体"/>
          <w:szCs w:val="21"/>
        </w:rPr>
        <w:t>)</w:t>
      </w:r>
      <w:r>
        <w:rPr>
          <w:rFonts w:hint="eastAsia" w:ascii="宋体"/>
          <w:szCs w:val="21"/>
        </w:rPr>
        <w:t xml:space="preserve">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                                              </w:t>
      </w:r>
    </w:p>
    <w:p w14:paraId="6D305388">
      <w:pPr>
        <w:spacing w:after="60"/>
        <w:ind w:firstLine="420" w:firstLineChars="200"/>
        <w:rPr>
          <w:rFonts w:ascii="宋体"/>
          <w:szCs w:val="21"/>
        </w:rPr>
      </w:pPr>
    </w:p>
    <w:p w14:paraId="1BEA0AB3">
      <w:pPr>
        <w:pStyle w:val="4"/>
        <w:tabs>
          <w:tab w:val="left" w:pos="0"/>
        </w:tabs>
        <w:jc w:val="center"/>
        <w:rPr>
          <w:rFonts w:ascii="宋体" w:eastAsia="宋体"/>
        </w:rPr>
      </w:pPr>
      <w:r>
        <w:rPr>
          <w:rFonts w:hint="eastAsia" w:ascii="宋体" w:eastAsia="宋体"/>
        </w:rPr>
        <w:t>列入政府优先采购清单的投标产品一览表</w:t>
      </w:r>
    </w:p>
    <w:tbl>
      <w:tblPr>
        <w:tblStyle w:val="42"/>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0E6E8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800F16C">
            <w:pPr>
              <w:jc w:val="center"/>
              <w:rPr>
                <w:b/>
                <w:szCs w:val="21"/>
              </w:rPr>
            </w:pPr>
            <w:r>
              <w:rPr>
                <w:rFonts w:hint="eastAsia"/>
                <w:b/>
                <w:szCs w:val="21"/>
              </w:rPr>
              <w:t>序号</w:t>
            </w:r>
          </w:p>
        </w:tc>
        <w:tc>
          <w:tcPr>
            <w:tcW w:w="1213" w:type="dxa"/>
            <w:vMerge w:val="restart"/>
            <w:vAlign w:val="center"/>
          </w:tcPr>
          <w:p w14:paraId="12A148D4">
            <w:pPr>
              <w:jc w:val="center"/>
              <w:rPr>
                <w:b/>
                <w:szCs w:val="21"/>
              </w:rPr>
            </w:pPr>
            <w:r>
              <w:rPr>
                <w:rFonts w:hint="eastAsia"/>
                <w:b/>
                <w:szCs w:val="21"/>
              </w:rPr>
              <w:t>投标产品名称</w:t>
            </w:r>
          </w:p>
        </w:tc>
        <w:tc>
          <w:tcPr>
            <w:tcW w:w="1840" w:type="dxa"/>
            <w:vMerge w:val="restart"/>
            <w:vAlign w:val="center"/>
          </w:tcPr>
          <w:p w14:paraId="72E18005">
            <w:pPr>
              <w:jc w:val="center"/>
              <w:rPr>
                <w:b/>
                <w:szCs w:val="21"/>
              </w:rPr>
            </w:pPr>
            <w:r>
              <w:rPr>
                <w:rFonts w:hint="eastAsia"/>
                <w:b/>
                <w:szCs w:val="21"/>
              </w:rPr>
              <w:t>规格及型号</w:t>
            </w:r>
          </w:p>
        </w:tc>
        <w:tc>
          <w:tcPr>
            <w:tcW w:w="4351" w:type="dxa"/>
            <w:gridSpan w:val="3"/>
            <w:vAlign w:val="center"/>
          </w:tcPr>
          <w:p w14:paraId="677A74BD">
            <w:pPr>
              <w:jc w:val="center"/>
              <w:rPr>
                <w:b/>
                <w:szCs w:val="21"/>
              </w:rPr>
            </w:pPr>
            <w:r>
              <w:rPr>
                <w:rFonts w:hint="eastAsia"/>
                <w:b/>
                <w:szCs w:val="21"/>
              </w:rPr>
              <w:t>投标产品报价</w:t>
            </w:r>
          </w:p>
        </w:tc>
        <w:tc>
          <w:tcPr>
            <w:tcW w:w="1503" w:type="dxa"/>
            <w:vMerge w:val="restart"/>
            <w:vAlign w:val="center"/>
          </w:tcPr>
          <w:p w14:paraId="33B549A6">
            <w:pPr>
              <w:jc w:val="center"/>
              <w:rPr>
                <w:b/>
                <w:szCs w:val="21"/>
              </w:rPr>
            </w:pPr>
            <w:r>
              <w:rPr>
                <w:rFonts w:hint="eastAsia"/>
                <w:b/>
                <w:szCs w:val="21"/>
              </w:rPr>
              <w:t>属于优先采购清单的类别</w:t>
            </w:r>
          </w:p>
        </w:tc>
        <w:tc>
          <w:tcPr>
            <w:tcW w:w="720" w:type="dxa"/>
            <w:vMerge w:val="restart"/>
            <w:vAlign w:val="center"/>
          </w:tcPr>
          <w:p w14:paraId="663BCB9B">
            <w:pPr>
              <w:jc w:val="center"/>
              <w:rPr>
                <w:b/>
                <w:szCs w:val="21"/>
              </w:rPr>
            </w:pPr>
            <w:r>
              <w:rPr>
                <w:rFonts w:hint="eastAsia"/>
                <w:b/>
                <w:szCs w:val="21"/>
              </w:rPr>
              <w:t>备注</w:t>
            </w:r>
          </w:p>
        </w:tc>
      </w:tr>
      <w:tr w14:paraId="5A335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0968707A"/>
        </w:tc>
        <w:tc>
          <w:tcPr>
            <w:tcW w:w="1213" w:type="dxa"/>
            <w:vMerge w:val="continue"/>
            <w:vAlign w:val="center"/>
          </w:tcPr>
          <w:p w14:paraId="1ADF04EB"/>
        </w:tc>
        <w:tc>
          <w:tcPr>
            <w:tcW w:w="1840" w:type="dxa"/>
            <w:vMerge w:val="continue"/>
            <w:vAlign w:val="center"/>
          </w:tcPr>
          <w:p w14:paraId="2130F72B"/>
        </w:tc>
        <w:tc>
          <w:tcPr>
            <w:tcW w:w="818" w:type="dxa"/>
            <w:vAlign w:val="center"/>
          </w:tcPr>
          <w:p w14:paraId="54C9B65E">
            <w:pPr>
              <w:rPr>
                <w:szCs w:val="21"/>
              </w:rPr>
            </w:pPr>
            <w:r>
              <w:rPr>
                <w:rFonts w:hint="eastAsia"/>
                <w:szCs w:val="21"/>
              </w:rPr>
              <w:t>数量</w:t>
            </w:r>
          </w:p>
        </w:tc>
        <w:tc>
          <w:tcPr>
            <w:tcW w:w="1241" w:type="dxa"/>
            <w:vAlign w:val="center"/>
          </w:tcPr>
          <w:p w14:paraId="79CC8529">
            <w:pPr>
              <w:jc w:val="center"/>
              <w:rPr>
                <w:szCs w:val="21"/>
              </w:rPr>
            </w:pPr>
            <w:r>
              <w:rPr>
                <w:rFonts w:hint="eastAsia"/>
                <w:szCs w:val="21"/>
              </w:rPr>
              <w:t>投标单价（元）</w:t>
            </w:r>
          </w:p>
        </w:tc>
        <w:tc>
          <w:tcPr>
            <w:tcW w:w="2292" w:type="dxa"/>
            <w:vAlign w:val="center"/>
          </w:tcPr>
          <w:p w14:paraId="60B3C59D">
            <w:pPr>
              <w:jc w:val="center"/>
              <w:rPr>
                <w:szCs w:val="21"/>
              </w:rPr>
            </w:pPr>
            <w:r>
              <w:rPr>
                <w:rFonts w:hint="eastAsia"/>
                <w:szCs w:val="21"/>
              </w:rPr>
              <w:t>投标</w:t>
            </w:r>
            <w:r>
              <w:rPr>
                <w:rFonts w:hint="eastAsia" w:ascii="宋体"/>
                <w:szCs w:val="21"/>
              </w:rPr>
              <w:t>合计</w:t>
            </w:r>
            <w:r>
              <w:rPr>
                <w:rFonts w:hint="eastAsia"/>
                <w:szCs w:val="21"/>
              </w:rPr>
              <w:t>报价（元）</w:t>
            </w:r>
          </w:p>
        </w:tc>
        <w:tc>
          <w:tcPr>
            <w:tcW w:w="1503" w:type="dxa"/>
            <w:vMerge w:val="continue"/>
            <w:vAlign w:val="center"/>
          </w:tcPr>
          <w:p w14:paraId="4D4E6B95"/>
        </w:tc>
        <w:tc>
          <w:tcPr>
            <w:tcW w:w="720" w:type="dxa"/>
            <w:vMerge w:val="continue"/>
            <w:vAlign w:val="center"/>
          </w:tcPr>
          <w:p w14:paraId="35B18F27"/>
        </w:tc>
      </w:tr>
      <w:tr w14:paraId="1ACB0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35BD73F3">
            <w:pPr>
              <w:jc w:val="center"/>
              <w:rPr>
                <w:rFonts w:ascii="宋体"/>
                <w:szCs w:val="21"/>
              </w:rPr>
            </w:pPr>
            <w:r>
              <w:rPr>
                <w:rFonts w:hint="eastAsia" w:ascii="宋体"/>
                <w:szCs w:val="21"/>
              </w:rPr>
              <w:t>1</w:t>
            </w:r>
          </w:p>
        </w:tc>
        <w:tc>
          <w:tcPr>
            <w:tcW w:w="1213" w:type="dxa"/>
            <w:vAlign w:val="center"/>
          </w:tcPr>
          <w:p w14:paraId="137BCD80">
            <w:pPr>
              <w:jc w:val="center"/>
              <w:rPr>
                <w:szCs w:val="21"/>
              </w:rPr>
            </w:pPr>
          </w:p>
        </w:tc>
        <w:tc>
          <w:tcPr>
            <w:tcW w:w="1840" w:type="dxa"/>
            <w:vAlign w:val="center"/>
          </w:tcPr>
          <w:p w14:paraId="2101B11B">
            <w:pPr>
              <w:jc w:val="center"/>
              <w:rPr>
                <w:szCs w:val="21"/>
              </w:rPr>
            </w:pPr>
          </w:p>
        </w:tc>
        <w:tc>
          <w:tcPr>
            <w:tcW w:w="818" w:type="dxa"/>
            <w:vAlign w:val="center"/>
          </w:tcPr>
          <w:p w14:paraId="3C43CFD3">
            <w:pPr>
              <w:jc w:val="center"/>
              <w:rPr>
                <w:szCs w:val="21"/>
              </w:rPr>
            </w:pPr>
          </w:p>
        </w:tc>
        <w:tc>
          <w:tcPr>
            <w:tcW w:w="1241" w:type="dxa"/>
            <w:vAlign w:val="center"/>
          </w:tcPr>
          <w:p w14:paraId="52BDD9A9">
            <w:pPr>
              <w:jc w:val="center"/>
              <w:rPr>
                <w:szCs w:val="21"/>
              </w:rPr>
            </w:pPr>
          </w:p>
        </w:tc>
        <w:tc>
          <w:tcPr>
            <w:tcW w:w="2292" w:type="dxa"/>
            <w:vAlign w:val="center"/>
          </w:tcPr>
          <w:p w14:paraId="17CF9E04">
            <w:pPr>
              <w:jc w:val="center"/>
              <w:rPr>
                <w:szCs w:val="21"/>
              </w:rPr>
            </w:pPr>
          </w:p>
        </w:tc>
        <w:tc>
          <w:tcPr>
            <w:tcW w:w="1503" w:type="dxa"/>
            <w:vAlign w:val="center"/>
          </w:tcPr>
          <w:p w14:paraId="22A59950">
            <w:pPr>
              <w:jc w:val="center"/>
              <w:rPr>
                <w:szCs w:val="21"/>
              </w:rPr>
            </w:pPr>
          </w:p>
        </w:tc>
        <w:tc>
          <w:tcPr>
            <w:tcW w:w="720" w:type="dxa"/>
            <w:vAlign w:val="center"/>
          </w:tcPr>
          <w:p w14:paraId="5A758934">
            <w:pPr>
              <w:jc w:val="center"/>
              <w:rPr>
                <w:szCs w:val="21"/>
              </w:rPr>
            </w:pPr>
          </w:p>
        </w:tc>
      </w:tr>
      <w:tr w14:paraId="0D080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7CE487C3">
            <w:pPr>
              <w:jc w:val="center"/>
              <w:rPr>
                <w:rFonts w:ascii="宋体"/>
                <w:szCs w:val="21"/>
              </w:rPr>
            </w:pPr>
            <w:r>
              <w:rPr>
                <w:rFonts w:hint="eastAsia" w:ascii="宋体"/>
                <w:szCs w:val="21"/>
              </w:rPr>
              <w:t>2</w:t>
            </w:r>
          </w:p>
        </w:tc>
        <w:tc>
          <w:tcPr>
            <w:tcW w:w="1213" w:type="dxa"/>
            <w:vAlign w:val="center"/>
          </w:tcPr>
          <w:p w14:paraId="498C5A0F">
            <w:pPr>
              <w:jc w:val="center"/>
              <w:rPr>
                <w:szCs w:val="21"/>
              </w:rPr>
            </w:pPr>
          </w:p>
        </w:tc>
        <w:tc>
          <w:tcPr>
            <w:tcW w:w="1840" w:type="dxa"/>
            <w:vAlign w:val="center"/>
          </w:tcPr>
          <w:p w14:paraId="020E4A33">
            <w:pPr>
              <w:jc w:val="center"/>
              <w:rPr>
                <w:szCs w:val="21"/>
              </w:rPr>
            </w:pPr>
          </w:p>
        </w:tc>
        <w:tc>
          <w:tcPr>
            <w:tcW w:w="818" w:type="dxa"/>
            <w:vAlign w:val="center"/>
          </w:tcPr>
          <w:p w14:paraId="6E0BB5EF">
            <w:pPr>
              <w:jc w:val="center"/>
              <w:rPr>
                <w:szCs w:val="21"/>
              </w:rPr>
            </w:pPr>
          </w:p>
        </w:tc>
        <w:tc>
          <w:tcPr>
            <w:tcW w:w="1241" w:type="dxa"/>
            <w:vAlign w:val="center"/>
          </w:tcPr>
          <w:p w14:paraId="745A1C58">
            <w:pPr>
              <w:jc w:val="center"/>
              <w:rPr>
                <w:szCs w:val="21"/>
              </w:rPr>
            </w:pPr>
          </w:p>
        </w:tc>
        <w:tc>
          <w:tcPr>
            <w:tcW w:w="2292" w:type="dxa"/>
            <w:vAlign w:val="center"/>
          </w:tcPr>
          <w:p w14:paraId="2295F0DC">
            <w:pPr>
              <w:jc w:val="center"/>
              <w:rPr>
                <w:szCs w:val="21"/>
              </w:rPr>
            </w:pPr>
          </w:p>
        </w:tc>
        <w:tc>
          <w:tcPr>
            <w:tcW w:w="1503" w:type="dxa"/>
            <w:vAlign w:val="center"/>
          </w:tcPr>
          <w:p w14:paraId="60618975">
            <w:pPr>
              <w:jc w:val="center"/>
              <w:rPr>
                <w:szCs w:val="21"/>
              </w:rPr>
            </w:pPr>
          </w:p>
        </w:tc>
        <w:tc>
          <w:tcPr>
            <w:tcW w:w="720" w:type="dxa"/>
            <w:vAlign w:val="center"/>
          </w:tcPr>
          <w:p w14:paraId="519D2E8D">
            <w:pPr>
              <w:jc w:val="center"/>
              <w:rPr>
                <w:szCs w:val="21"/>
              </w:rPr>
            </w:pPr>
          </w:p>
        </w:tc>
      </w:tr>
    </w:tbl>
    <w:p w14:paraId="350F8FCB">
      <w:pPr>
        <w:spacing w:line="360" w:lineRule="auto"/>
        <w:rPr>
          <w:szCs w:val="21"/>
        </w:rPr>
      </w:pPr>
      <w:r>
        <w:rPr>
          <w:rFonts w:hint="eastAsia"/>
          <w:szCs w:val="21"/>
        </w:rPr>
        <w:t>注</w:t>
      </w:r>
      <w:r>
        <w:rPr>
          <w:rFonts w:hint="eastAsia" w:ascii="宋体"/>
          <w:szCs w:val="21"/>
        </w:rPr>
        <w:t xml:space="preserve">：1. </w:t>
      </w:r>
      <w:r>
        <w:rPr>
          <w:rFonts w:hint="eastAsia" w:ascii="宋体"/>
          <w:b/>
          <w:szCs w:val="21"/>
        </w:rPr>
        <w:t>对</w:t>
      </w:r>
      <w:r>
        <w:rPr>
          <w:rFonts w:ascii="宋体"/>
          <w:b/>
          <w:szCs w:val="21"/>
        </w:rPr>
        <w:t>属于</w:t>
      </w:r>
      <w:r>
        <w:rPr>
          <w:rFonts w:hint="eastAsia" w:asci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b/>
          <w:szCs w:val="21"/>
        </w:rPr>
        <w:t>品目清单范围</w:t>
      </w:r>
      <w:r>
        <w:rPr>
          <w:rFonts w:hint="eastAsia" w:ascii="宋体"/>
          <w:b/>
          <w:szCs w:val="21"/>
        </w:rPr>
        <w:t>内</w:t>
      </w:r>
      <w:r>
        <w:rPr>
          <w:rFonts w:ascii="宋体"/>
          <w:b/>
          <w:szCs w:val="21"/>
        </w:rPr>
        <w:t>的</w:t>
      </w:r>
      <w:r>
        <w:rPr>
          <w:rFonts w:hint="eastAsia" w:ascii="宋体"/>
          <w:b/>
          <w:szCs w:val="21"/>
        </w:rPr>
        <w:t>投标产品，投标人须提供</w:t>
      </w:r>
      <w:r>
        <w:rPr>
          <w:rFonts w:ascii="宋体"/>
          <w:b/>
          <w:szCs w:val="21"/>
        </w:rPr>
        <w:t>国家确定的认证机构出具的、处于有效期之内的节能产品、环境标志产品认证证书，</w:t>
      </w:r>
      <w:r>
        <w:rPr>
          <w:rFonts w:hint="eastAsia" w:ascii="宋体"/>
          <w:b/>
          <w:szCs w:val="21"/>
        </w:rPr>
        <w:t>以及相应的节能或环境标志产品政府采购品目清单，并显著标识投标产品所处位置。</w:t>
      </w:r>
      <w:r>
        <w:rPr>
          <w:rFonts w:hint="eastAsia" w:ascii="宋体"/>
          <w:szCs w:val="21"/>
        </w:rPr>
        <w:t>提供以上证明材料的</w:t>
      </w:r>
      <w:r>
        <w:rPr>
          <w:rFonts w:hint="eastAsia" w:ascii="宋体"/>
          <w:szCs w:val="21"/>
          <w:lang w:eastAsia="zh-CN"/>
        </w:rPr>
        <w:t>扫描件</w:t>
      </w:r>
      <w:r>
        <w:rPr>
          <w:rFonts w:hint="eastAsia" w:ascii="宋体"/>
          <w:szCs w:val="21"/>
        </w:rPr>
        <w:t>，提供的证书若存在不齐全、已过有效期或其他未被评标委员会接受的瑕疵将不予认可。</w:t>
      </w:r>
      <w:r>
        <w:rPr>
          <w:rFonts w:hint="eastAsia"/>
          <w:szCs w:val="21"/>
        </w:rPr>
        <w:t>投标产品若不属于上述清单或目录范围内，则无需填写该表。</w:t>
      </w:r>
    </w:p>
    <w:p w14:paraId="2E4731F0">
      <w:pPr>
        <w:spacing w:line="360" w:lineRule="auto"/>
        <w:rPr>
          <w:rFonts w:ascii="宋体"/>
          <w:szCs w:val="21"/>
        </w:rPr>
      </w:pPr>
      <w:r>
        <w:rPr>
          <w:rFonts w:hint="eastAsia" w:ascii="宋体"/>
          <w:szCs w:val="21"/>
        </w:rPr>
        <w:t>2. “投标产品报价”栏中须准确填报该投标产品的投标单价、数量及投标合计报价；投标产品名称、规格型号、价格应与“分项报价表”一致，如不一致，以“分项报价表”为准。</w:t>
      </w:r>
    </w:p>
    <w:p w14:paraId="41A05469">
      <w:pPr>
        <w:spacing w:line="360" w:lineRule="auto"/>
        <w:rPr>
          <w:rFonts w:hint="eastAsia" w:ascii="宋体"/>
          <w:szCs w:val="21"/>
        </w:rPr>
      </w:pPr>
      <w:r>
        <w:rPr>
          <w:rFonts w:hint="eastAsia" w:ascii="宋体"/>
          <w:szCs w:val="21"/>
        </w:rPr>
        <w:t>3. “属于优先采购清单的类别”栏中填写“节能产品政府采购品目清单”或“环境标志产品政府采购品目清单”。</w:t>
      </w:r>
    </w:p>
    <w:p w14:paraId="54F1B887">
      <w:pPr>
        <w:spacing w:line="360" w:lineRule="auto"/>
        <w:rPr>
          <w:rFonts w:hint="eastAsia" w:ascii="宋体"/>
          <w:szCs w:val="21"/>
        </w:rPr>
      </w:pPr>
    </w:p>
    <w:p w14:paraId="0274B97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eastAsia="宋体" w:cs="宋体"/>
          <w:sz w:val="28"/>
          <w:szCs w:val="28"/>
        </w:rPr>
      </w:pPr>
      <w:r>
        <w:rPr>
          <w:rStyle w:val="44"/>
          <w:rFonts w:hint="eastAsia" w:ascii="宋体" w:eastAsia="宋体" w:cs="宋体"/>
          <w:i w:val="0"/>
          <w:iCs w:val="0"/>
          <w:caps w:val="0"/>
          <w:smallCaps w:val="0"/>
          <w:color w:val="000000"/>
          <w:spacing w:val="0"/>
          <w:sz w:val="28"/>
          <w:szCs w:val="28"/>
          <w:u w:val="none"/>
          <w:shd w:val="clear" w:color="auto" w:fill="FFFFFF"/>
          <w:vertAlign w:val="baseline"/>
        </w:rPr>
        <w:t>关于符合本国产品标准的声明函</w:t>
      </w:r>
    </w:p>
    <w:p w14:paraId="7DB0D338">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eastAsia="宋体" w:cs="宋体"/>
          <w:sz w:val="21"/>
          <w:szCs w:val="21"/>
        </w:rPr>
      </w:pPr>
      <w:r>
        <w:rPr>
          <w:rFonts w:hint="eastAsia" w:ascii="仿宋" w:eastAsia="仿宋" w:cs="仿宋"/>
          <w:i w:val="0"/>
          <w:iCs w:val="0"/>
          <w:caps w:val="0"/>
          <w:smallCaps w:val="0"/>
          <w:color w:val="000000"/>
          <w:spacing w:val="0"/>
          <w:sz w:val="28"/>
          <w:szCs w:val="28"/>
          <w:u w:val="none"/>
          <w:shd w:val="clear" w:color="auto" w:fill="FFFFFF"/>
          <w:vertAlign w:val="baseline"/>
        </w:rPr>
        <w:t> </w:t>
      </w:r>
      <w:r>
        <w:rPr>
          <w:rFonts w:hint="eastAsia" w:ascii="宋体" w:eastAsia="宋体" w:cs="宋体"/>
          <w:i w:val="0"/>
          <w:iCs w:val="0"/>
          <w:caps w:val="0"/>
          <w:smallCaps w:val="0"/>
          <w:color w:val="000000"/>
          <w:spacing w:val="0"/>
          <w:sz w:val="21"/>
          <w:szCs w:val="21"/>
          <w:u w:val="none"/>
          <w:shd w:val="clear" w:color="auto"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18C39BBE">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eastAsia="宋体" w:cs="宋体"/>
          <w:sz w:val="21"/>
          <w:szCs w:val="21"/>
        </w:rPr>
      </w:pPr>
      <w:r>
        <w:rPr>
          <w:rFonts w:hint="eastAsia" w:ascii="宋体" w:eastAsia="宋体" w:cs="宋体"/>
          <w:i w:val="0"/>
          <w:iCs w:val="0"/>
          <w:caps w:val="0"/>
          <w:smallCaps w:val="0"/>
          <w:color w:val="000000"/>
          <w:spacing w:val="0"/>
          <w:sz w:val="21"/>
          <w:szCs w:val="21"/>
          <w:u w:val="none"/>
          <w:shd w:val="clear" w:color="auto" w:fill="FFFFFF"/>
          <w:vertAlign w:val="baseline"/>
        </w:rPr>
        <w:t>1.</w:t>
      </w:r>
      <w:r>
        <w:rPr>
          <w:rStyle w:val="47"/>
          <w:rFonts w:hint="eastAsia" w:ascii="宋体" w:eastAsia="宋体" w:cs="宋体"/>
          <w:i w:val="0"/>
          <w:iCs w:val="0"/>
          <w:caps w:val="0"/>
          <w:smallCaps w:val="0"/>
          <w:color w:val="000000"/>
          <w:spacing w:val="0"/>
          <w:sz w:val="21"/>
          <w:szCs w:val="21"/>
          <w:u w:val="none"/>
          <w:shd w:val="clear" w:color="auto" w:fill="FFFFFF"/>
          <w:vertAlign w:val="baseline"/>
        </w:rPr>
        <w:t>（产品名称1）1</w:t>
      </w:r>
      <w:r>
        <w:rPr>
          <w:rFonts w:hint="eastAsia" w:ascii="宋体" w:eastAsia="宋体" w:cs="宋体"/>
          <w:i w:val="0"/>
          <w:iCs w:val="0"/>
          <w:caps w:val="0"/>
          <w:smallCaps w:val="0"/>
          <w:color w:val="000000"/>
          <w:spacing w:val="0"/>
          <w:sz w:val="21"/>
          <w:szCs w:val="21"/>
          <w:u w:val="none"/>
          <w:shd w:val="clear" w:color="auto" w:fill="FFFFFF"/>
          <w:vertAlign w:val="baseline"/>
        </w:rPr>
        <w:t>，生产厂为</w:t>
      </w:r>
      <w:r>
        <w:rPr>
          <w:rStyle w:val="47"/>
          <w:rFonts w:hint="eastAsia" w:ascii="宋体" w:eastAsia="宋体" w:cs="宋体"/>
          <w:i w:val="0"/>
          <w:iCs w:val="0"/>
          <w:caps w:val="0"/>
          <w:smallCaps w:val="0"/>
          <w:color w:val="000000"/>
          <w:spacing w:val="0"/>
          <w:sz w:val="21"/>
          <w:szCs w:val="21"/>
          <w:u w:val="none"/>
          <w:shd w:val="clear" w:color="auto" w:fill="FFFFFF"/>
          <w:vertAlign w:val="baseline"/>
        </w:rPr>
        <w:t>（厂名）2</w:t>
      </w:r>
      <w:r>
        <w:rPr>
          <w:rFonts w:hint="eastAsia" w:ascii="宋体" w:eastAsia="宋体" w:cs="宋体"/>
          <w:i w:val="0"/>
          <w:iCs w:val="0"/>
          <w:caps w:val="0"/>
          <w:smallCaps w:val="0"/>
          <w:color w:val="000000"/>
          <w:spacing w:val="0"/>
          <w:sz w:val="21"/>
          <w:szCs w:val="21"/>
          <w:u w:val="none"/>
          <w:shd w:val="clear" w:color="auto" w:fill="FFFFFF"/>
          <w:vertAlign w:val="baseline"/>
        </w:rPr>
        <w:t>，厂址为</w:t>
      </w:r>
      <w:r>
        <w:rPr>
          <w:rStyle w:val="47"/>
          <w:rFonts w:hint="eastAsia" w:ascii="宋体" w:eastAsia="宋体" w:cs="宋体"/>
          <w:i w:val="0"/>
          <w:iCs w:val="0"/>
          <w:caps w:val="0"/>
          <w:smallCaps w:val="0"/>
          <w:color w:val="000000"/>
          <w:spacing w:val="0"/>
          <w:sz w:val="21"/>
          <w:szCs w:val="21"/>
          <w:u w:val="none"/>
          <w:shd w:val="clear" w:color="auto" w:fill="FFFFFF"/>
          <w:vertAlign w:val="baseline"/>
        </w:rPr>
        <w:t>（生产厂址）</w:t>
      </w:r>
      <w:r>
        <w:rPr>
          <w:rFonts w:hint="eastAsia" w:ascii="宋体" w:eastAsia="宋体" w:cs="宋体"/>
          <w:i w:val="0"/>
          <w:iCs w:val="0"/>
          <w:caps w:val="0"/>
          <w:smallCaps w:val="0"/>
          <w:color w:val="000000"/>
          <w:spacing w:val="0"/>
          <w:sz w:val="21"/>
          <w:szCs w:val="21"/>
          <w:u w:val="none"/>
          <w:shd w:val="clear" w:color="auto" w:fill="FFFFFF"/>
          <w:vertAlign w:val="baseline"/>
        </w:rPr>
        <w:t>。</w:t>
      </w:r>
      <w:r>
        <w:rPr>
          <w:rStyle w:val="47"/>
          <w:rFonts w:hint="eastAsia" w:ascii="宋体" w:eastAsia="宋体" w:cs="宋体"/>
          <w:i w:val="0"/>
          <w:iCs w:val="0"/>
          <w:caps w:val="0"/>
          <w:smallCaps w:val="0"/>
          <w:color w:val="000000"/>
          <w:spacing w:val="0"/>
          <w:sz w:val="21"/>
          <w:szCs w:val="21"/>
          <w:u w:val="none"/>
          <w:shd w:val="clear" w:color="auto" w:fill="FFFFFF"/>
          <w:vertAlign w:val="baseline"/>
        </w:rPr>
        <w:t>（产品名称1）</w:t>
      </w:r>
      <w:r>
        <w:rPr>
          <w:rFonts w:hint="eastAsia" w:ascii="宋体" w:eastAsia="宋体" w:cs="宋体"/>
          <w:i w:val="0"/>
          <w:iCs w:val="0"/>
          <w:caps w:val="0"/>
          <w:smallCaps w:val="0"/>
          <w:color w:val="000000"/>
          <w:spacing w:val="0"/>
          <w:sz w:val="21"/>
          <w:szCs w:val="21"/>
          <w:u w:val="none"/>
          <w:shd w:val="clear" w:color="auto" w:fill="FFFFFF"/>
          <w:vertAlign w:val="baseline"/>
        </w:rPr>
        <w:t>的中国境内生产的组件成本占比≥</w:t>
      </w:r>
      <w:r>
        <w:rPr>
          <w:rStyle w:val="47"/>
          <w:rFonts w:hint="eastAsia" w:ascii="宋体" w:eastAsia="宋体" w:cs="宋体"/>
          <w:i w:val="0"/>
          <w:iCs w:val="0"/>
          <w:caps w:val="0"/>
          <w:smallCaps w:val="0"/>
          <w:color w:val="000000"/>
          <w:spacing w:val="0"/>
          <w:sz w:val="21"/>
          <w:szCs w:val="21"/>
          <w:u w:val="none"/>
          <w:shd w:val="clear" w:color="auto" w:fill="FFFFFF"/>
          <w:vertAlign w:val="baseline"/>
        </w:rPr>
        <w:t>（规定比例）3</w:t>
      </w:r>
      <w:r>
        <w:rPr>
          <w:rFonts w:hint="eastAsia" w:ascii="宋体" w:eastAsia="宋体" w:cs="宋体"/>
          <w:i w:val="0"/>
          <w:iCs w:val="0"/>
          <w:caps w:val="0"/>
          <w:smallCaps w:val="0"/>
          <w:color w:val="000000"/>
          <w:spacing w:val="0"/>
          <w:sz w:val="21"/>
          <w:szCs w:val="21"/>
          <w:u w:val="none"/>
          <w:shd w:val="clear" w:color="auto" w:fill="FFFFFF"/>
          <w:vertAlign w:val="baseline"/>
        </w:rPr>
        <w:t>。</w:t>
      </w:r>
      <w:r>
        <w:rPr>
          <w:rStyle w:val="47"/>
          <w:rFonts w:hint="eastAsia" w:ascii="宋体" w:eastAsia="宋体" w:cs="宋体"/>
          <w:i w:val="0"/>
          <w:iCs w:val="0"/>
          <w:caps w:val="0"/>
          <w:smallCaps w:val="0"/>
          <w:color w:val="000000"/>
          <w:spacing w:val="0"/>
          <w:sz w:val="21"/>
          <w:szCs w:val="21"/>
          <w:u w:val="none"/>
          <w:shd w:val="clear" w:color="auto" w:fill="FFFFFF"/>
          <w:vertAlign w:val="baseline"/>
        </w:rPr>
        <w:t>（产品名称1）</w:t>
      </w:r>
      <w:r>
        <w:rPr>
          <w:rFonts w:hint="eastAsia" w:ascii="宋体" w:eastAsia="宋体" w:cs="宋体"/>
          <w:i w:val="0"/>
          <w:iCs w:val="0"/>
          <w:caps w:val="0"/>
          <w:smallCaps w:val="0"/>
          <w:color w:val="000000"/>
          <w:spacing w:val="0"/>
          <w:sz w:val="21"/>
          <w:szCs w:val="21"/>
          <w:u w:val="none"/>
          <w:shd w:val="clear" w:color="auto" w:fill="FFFFFF"/>
          <w:vertAlign w:val="baseline"/>
        </w:rPr>
        <w:t>的</w:t>
      </w:r>
      <w:r>
        <w:rPr>
          <w:rStyle w:val="47"/>
          <w:rFonts w:hint="eastAsia" w:ascii="宋体" w:eastAsia="宋体" w:cs="宋体"/>
          <w:i w:val="0"/>
          <w:iCs w:val="0"/>
          <w:caps w:val="0"/>
          <w:smallCaps w:val="0"/>
          <w:color w:val="000000"/>
          <w:spacing w:val="0"/>
          <w:sz w:val="21"/>
          <w:szCs w:val="21"/>
          <w:u w:val="none"/>
          <w:shd w:val="clear" w:color="auto" w:fill="FFFFFF"/>
          <w:vertAlign w:val="baseline"/>
        </w:rPr>
        <w:t>（关键组件）4</w:t>
      </w:r>
      <w:r>
        <w:rPr>
          <w:rFonts w:hint="eastAsia" w:ascii="宋体" w:eastAsia="宋体" w:cs="宋体"/>
          <w:i w:val="0"/>
          <w:iCs w:val="0"/>
          <w:caps w:val="0"/>
          <w:smallCaps w:val="0"/>
          <w:color w:val="000000"/>
          <w:spacing w:val="0"/>
          <w:sz w:val="21"/>
          <w:szCs w:val="21"/>
          <w:u w:val="none"/>
          <w:shd w:val="clear" w:color="auto" w:fill="FFFFFF"/>
          <w:vertAlign w:val="baseline"/>
        </w:rPr>
        <w:t>在中国境内生产。</w:t>
      </w:r>
      <w:r>
        <w:rPr>
          <w:rStyle w:val="47"/>
          <w:rFonts w:hint="eastAsia" w:ascii="宋体" w:eastAsia="宋体" w:cs="宋体"/>
          <w:i w:val="0"/>
          <w:iCs w:val="0"/>
          <w:caps w:val="0"/>
          <w:smallCaps w:val="0"/>
          <w:color w:val="000000"/>
          <w:spacing w:val="0"/>
          <w:sz w:val="21"/>
          <w:szCs w:val="21"/>
          <w:u w:val="none"/>
          <w:shd w:val="clear" w:color="auto" w:fill="FFFFFF"/>
          <w:vertAlign w:val="baseline"/>
        </w:rPr>
        <w:t>（产品名称1）</w:t>
      </w:r>
      <w:r>
        <w:rPr>
          <w:rFonts w:hint="eastAsia" w:ascii="宋体" w:eastAsia="宋体" w:cs="宋体"/>
          <w:i w:val="0"/>
          <w:iCs w:val="0"/>
          <w:caps w:val="0"/>
          <w:smallCaps w:val="0"/>
          <w:color w:val="000000"/>
          <w:spacing w:val="0"/>
          <w:sz w:val="21"/>
          <w:szCs w:val="21"/>
          <w:u w:val="none"/>
          <w:shd w:val="clear" w:color="auto" w:fill="FFFFFF"/>
          <w:vertAlign w:val="baseline"/>
        </w:rPr>
        <w:t>的</w:t>
      </w:r>
      <w:r>
        <w:rPr>
          <w:rStyle w:val="47"/>
          <w:rFonts w:hint="eastAsia" w:ascii="宋体" w:eastAsia="宋体" w:cs="宋体"/>
          <w:i w:val="0"/>
          <w:iCs w:val="0"/>
          <w:caps w:val="0"/>
          <w:smallCaps w:val="0"/>
          <w:color w:val="000000"/>
          <w:spacing w:val="0"/>
          <w:sz w:val="21"/>
          <w:szCs w:val="21"/>
          <w:u w:val="none"/>
          <w:shd w:val="clear" w:color="auto" w:fill="FFFFFF"/>
          <w:vertAlign w:val="baseline"/>
        </w:rPr>
        <w:t>（关键工序）5</w:t>
      </w:r>
      <w:r>
        <w:rPr>
          <w:rFonts w:hint="eastAsia" w:ascii="宋体" w:eastAsia="宋体" w:cs="宋体"/>
          <w:i w:val="0"/>
          <w:iCs w:val="0"/>
          <w:caps w:val="0"/>
          <w:smallCaps w:val="0"/>
          <w:color w:val="000000"/>
          <w:spacing w:val="0"/>
          <w:sz w:val="21"/>
          <w:szCs w:val="21"/>
          <w:u w:val="none"/>
          <w:shd w:val="clear" w:color="auto" w:fill="FFFFFF"/>
          <w:vertAlign w:val="baseline"/>
        </w:rPr>
        <w:t>在中国境内完成。</w:t>
      </w:r>
    </w:p>
    <w:p w14:paraId="23DA8A9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eastAsia="宋体" w:cs="宋体"/>
          <w:sz w:val="21"/>
          <w:szCs w:val="21"/>
        </w:rPr>
      </w:pPr>
      <w:r>
        <w:rPr>
          <w:rFonts w:hint="eastAsia" w:ascii="宋体" w:eastAsia="宋体" w:cs="宋体"/>
          <w:i w:val="0"/>
          <w:iCs w:val="0"/>
          <w:caps w:val="0"/>
          <w:smallCaps w:val="0"/>
          <w:color w:val="000000"/>
          <w:spacing w:val="0"/>
          <w:sz w:val="21"/>
          <w:szCs w:val="21"/>
          <w:u w:val="none"/>
          <w:shd w:val="clear" w:color="auto" w:fill="FFFFFF"/>
          <w:vertAlign w:val="baseline"/>
        </w:rPr>
        <w:t>2.</w:t>
      </w:r>
      <w:r>
        <w:rPr>
          <w:rStyle w:val="47"/>
          <w:rFonts w:hint="eastAsia" w:ascii="宋体" w:eastAsia="宋体" w:cs="宋体"/>
          <w:i w:val="0"/>
          <w:iCs w:val="0"/>
          <w:caps w:val="0"/>
          <w:smallCaps w:val="0"/>
          <w:color w:val="000000"/>
          <w:spacing w:val="0"/>
          <w:sz w:val="21"/>
          <w:szCs w:val="21"/>
          <w:u w:val="none"/>
          <w:shd w:val="clear" w:color="auto" w:fill="FFFFFF"/>
          <w:vertAlign w:val="baseline"/>
        </w:rPr>
        <w:t>（产品名称2）</w:t>
      </w:r>
      <w:r>
        <w:rPr>
          <w:rFonts w:hint="eastAsia" w:ascii="宋体" w:eastAsia="宋体" w:cs="宋体"/>
          <w:i w:val="0"/>
          <w:iCs w:val="0"/>
          <w:caps w:val="0"/>
          <w:smallCaps w:val="0"/>
          <w:color w:val="000000"/>
          <w:spacing w:val="0"/>
          <w:sz w:val="21"/>
          <w:szCs w:val="21"/>
          <w:u w:val="none"/>
          <w:shd w:val="clear" w:color="auto" w:fill="FFFFFF"/>
          <w:vertAlign w:val="baseline"/>
        </w:rPr>
        <w:t>，生产厂为</w:t>
      </w:r>
      <w:r>
        <w:rPr>
          <w:rStyle w:val="47"/>
          <w:rFonts w:hint="eastAsia" w:ascii="宋体" w:eastAsia="宋体" w:cs="宋体"/>
          <w:i w:val="0"/>
          <w:iCs w:val="0"/>
          <w:caps w:val="0"/>
          <w:smallCaps w:val="0"/>
          <w:color w:val="000000"/>
          <w:spacing w:val="0"/>
          <w:sz w:val="21"/>
          <w:szCs w:val="21"/>
          <w:u w:val="none"/>
          <w:shd w:val="clear" w:color="auto" w:fill="FFFFFF"/>
          <w:vertAlign w:val="baseline"/>
        </w:rPr>
        <w:t>（厂名）</w:t>
      </w:r>
      <w:r>
        <w:rPr>
          <w:rFonts w:hint="eastAsia" w:ascii="宋体" w:eastAsia="宋体" w:cs="宋体"/>
          <w:i w:val="0"/>
          <w:iCs w:val="0"/>
          <w:caps w:val="0"/>
          <w:smallCaps w:val="0"/>
          <w:color w:val="000000"/>
          <w:spacing w:val="0"/>
          <w:sz w:val="21"/>
          <w:szCs w:val="21"/>
          <w:u w:val="none"/>
          <w:shd w:val="clear" w:color="auto" w:fill="FFFFFF"/>
          <w:vertAlign w:val="baseline"/>
        </w:rPr>
        <w:t>，厂址为</w:t>
      </w:r>
      <w:r>
        <w:rPr>
          <w:rStyle w:val="47"/>
          <w:rFonts w:hint="eastAsia" w:ascii="宋体" w:eastAsia="宋体" w:cs="宋体"/>
          <w:i w:val="0"/>
          <w:iCs w:val="0"/>
          <w:caps w:val="0"/>
          <w:smallCaps w:val="0"/>
          <w:color w:val="000000"/>
          <w:spacing w:val="0"/>
          <w:sz w:val="21"/>
          <w:szCs w:val="21"/>
          <w:u w:val="none"/>
          <w:shd w:val="clear" w:color="auto" w:fill="FFFFFF"/>
          <w:vertAlign w:val="baseline"/>
        </w:rPr>
        <w:t>（生产厂址）</w:t>
      </w:r>
      <w:r>
        <w:rPr>
          <w:rFonts w:hint="eastAsia" w:ascii="宋体" w:eastAsia="宋体" w:cs="宋体"/>
          <w:i w:val="0"/>
          <w:iCs w:val="0"/>
          <w:caps w:val="0"/>
          <w:smallCaps w:val="0"/>
          <w:color w:val="000000"/>
          <w:spacing w:val="0"/>
          <w:sz w:val="21"/>
          <w:szCs w:val="21"/>
          <w:u w:val="none"/>
          <w:shd w:val="clear" w:color="auto" w:fill="FFFFFF"/>
          <w:vertAlign w:val="baseline"/>
        </w:rPr>
        <w:t>。</w:t>
      </w:r>
      <w:r>
        <w:rPr>
          <w:rStyle w:val="47"/>
          <w:rFonts w:hint="eastAsia" w:ascii="宋体" w:eastAsia="宋体" w:cs="宋体"/>
          <w:i w:val="0"/>
          <w:iCs w:val="0"/>
          <w:caps w:val="0"/>
          <w:smallCaps w:val="0"/>
          <w:color w:val="000000"/>
          <w:spacing w:val="0"/>
          <w:sz w:val="21"/>
          <w:szCs w:val="21"/>
          <w:u w:val="none"/>
          <w:shd w:val="clear" w:color="auto" w:fill="FFFFFF"/>
          <w:vertAlign w:val="baseline"/>
        </w:rPr>
        <w:t>（产品名称2）</w:t>
      </w:r>
      <w:r>
        <w:rPr>
          <w:rFonts w:hint="eastAsia" w:ascii="宋体" w:eastAsia="宋体" w:cs="宋体"/>
          <w:i w:val="0"/>
          <w:iCs w:val="0"/>
          <w:caps w:val="0"/>
          <w:smallCaps w:val="0"/>
          <w:color w:val="000000"/>
          <w:spacing w:val="0"/>
          <w:sz w:val="21"/>
          <w:szCs w:val="21"/>
          <w:u w:val="none"/>
          <w:shd w:val="clear" w:color="auto" w:fill="FFFFFF"/>
          <w:vertAlign w:val="baseline"/>
        </w:rPr>
        <w:t>的中国境内生产的组件成本占比≥</w:t>
      </w:r>
      <w:r>
        <w:rPr>
          <w:rStyle w:val="47"/>
          <w:rFonts w:hint="eastAsia" w:ascii="宋体" w:eastAsia="宋体" w:cs="宋体"/>
          <w:i w:val="0"/>
          <w:iCs w:val="0"/>
          <w:caps w:val="0"/>
          <w:smallCaps w:val="0"/>
          <w:color w:val="000000"/>
          <w:spacing w:val="0"/>
          <w:sz w:val="21"/>
          <w:szCs w:val="21"/>
          <w:u w:val="none"/>
          <w:shd w:val="clear" w:color="auto" w:fill="FFFFFF"/>
          <w:vertAlign w:val="baseline"/>
        </w:rPr>
        <w:t>（规定比例）</w:t>
      </w:r>
      <w:r>
        <w:rPr>
          <w:rFonts w:hint="eastAsia" w:ascii="宋体" w:eastAsia="宋体" w:cs="宋体"/>
          <w:i w:val="0"/>
          <w:iCs w:val="0"/>
          <w:caps w:val="0"/>
          <w:smallCaps w:val="0"/>
          <w:color w:val="000000"/>
          <w:spacing w:val="0"/>
          <w:sz w:val="21"/>
          <w:szCs w:val="21"/>
          <w:u w:val="none"/>
          <w:shd w:val="clear" w:color="auto" w:fill="FFFFFF"/>
          <w:vertAlign w:val="baseline"/>
        </w:rPr>
        <w:t>。</w:t>
      </w:r>
      <w:r>
        <w:rPr>
          <w:rStyle w:val="47"/>
          <w:rFonts w:hint="eastAsia" w:ascii="宋体" w:eastAsia="宋体" w:cs="宋体"/>
          <w:i w:val="0"/>
          <w:iCs w:val="0"/>
          <w:caps w:val="0"/>
          <w:smallCaps w:val="0"/>
          <w:color w:val="000000"/>
          <w:spacing w:val="0"/>
          <w:sz w:val="21"/>
          <w:szCs w:val="21"/>
          <w:u w:val="none"/>
          <w:shd w:val="clear" w:color="auto" w:fill="FFFFFF"/>
          <w:vertAlign w:val="baseline"/>
        </w:rPr>
        <w:t>（产品名称2）</w:t>
      </w:r>
      <w:r>
        <w:rPr>
          <w:rFonts w:hint="eastAsia" w:ascii="宋体" w:eastAsia="宋体" w:cs="宋体"/>
          <w:i w:val="0"/>
          <w:iCs w:val="0"/>
          <w:caps w:val="0"/>
          <w:smallCaps w:val="0"/>
          <w:color w:val="000000"/>
          <w:spacing w:val="0"/>
          <w:sz w:val="21"/>
          <w:szCs w:val="21"/>
          <w:u w:val="none"/>
          <w:shd w:val="clear" w:color="auto" w:fill="FFFFFF"/>
          <w:vertAlign w:val="baseline"/>
        </w:rPr>
        <w:t>的</w:t>
      </w:r>
      <w:r>
        <w:rPr>
          <w:rStyle w:val="47"/>
          <w:rFonts w:hint="eastAsia" w:ascii="宋体" w:eastAsia="宋体" w:cs="宋体"/>
          <w:i w:val="0"/>
          <w:iCs w:val="0"/>
          <w:caps w:val="0"/>
          <w:smallCaps w:val="0"/>
          <w:color w:val="000000"/>
          <w:spacing w:val="0"/>
          <w:sz w:val="21"/>
          <w:szCs w:val="21"/>
          <w:u w:val="none"/>
          <w:shd w:val="clear" w:color="auto" w:fill="FFFFFF"/>
          <w:vertAlign w:val="baseline"/>
        </w:rPr>
        <w:t>（关键组件）</w:t>
      </w:r>
      <w:r>
        <w:rPr>
          <w:rFonts w:hint="eastAsia" w:ascii="宋体" w:eastAsia="宋体" w:cs="宋体"/>
          <w:i w:val="0"/>
          <w:iCs w:val="0"/>
          <w:caps w:val="0"/>
          <w:smallCaps w:val="0"/>
          <w:color w:val="000000"/>
          <w:spacing w:val="0"/>
          <w:sz w:val="21"/>
          <w:szCs w:val="21"/>
          <w:u w:val="none"/>
          <w:shd w:val="clear" w:color="auto" w:fill="FFFFFF"/>
          <w:vertAlign w:val="baseline"/>
        </w:rPr>
        <w:t>在中国境内生产。</w:t>
      </w:r>
      <w:r>
        <w:rPr>
          <w:rStyle w:val="47"/>
          <w:rFonts w:hint="eastAsia" w:ascii="宋体" w:eastAsia="宋体" w:cs="宋体"/>
          <w:i w:val="0"/>
          <w:iCs w:val="0"/>
          <w:caps w:val="0"/>
          <w:smallCaps w:val="0"/>
          <w:color w:val="000000"/>
          <w:spacing w:val="0"/>
          <w:sz w:val="21"/>
          <w:szCs w:val="21"/>
          <w:u w:val="none"/>
          <w:shd w:val="clear" w:color="auto" w:fill="FFFFFF"/>
          <w:vertAlign w:val="baseline"/>
        </w:rPr>
        <w:t>（产品名称2）</w:t>
      </w:r>
      <w:r>
        <w:rPr>
          <w:rFonts w:hint="eastAsia" w:ascii="宋体" w:eastAsia="宋体" w:cs="宋体"/>
          <w:i w:val="0"/>
          <w:iCs w:val="0"/>
          <w:caps w:val="0"/>
          <w:smallCaps w:val="0"/>
          <w:color w:val="000000"/>
          <w:spacing w:val="0"/>
          <w:sz w:val="21"/>
          <w:szCs w:val="21"/>
          <w:u w:val="none"/>
          <w:shd w:val="clear" w:color="auto" w:fill="FFFFFF"/>
          <w:vertAlign w:val="baseline"/>
        </w:rPr>
        <w:t>的</w:t>
      </w:r>
      <w:r>
        <w:rPr>
          <w:rStyle w:val="47"/>
          <w:rFonts w:hint="eastAsia" w:ascii="宋体" w:eastAsia="宋体" w:cs="宋体"/>
          <w:i w:val="0"/>
          <w:iCs w:val="0"/>
          <w:caps w:val="0"/>
          <w:smallCaps w:val="0"/>
          <w:color w:val="000000"/>
          <w:spacing w:val="0"/>
          <w:sz w:val="21"/>
          <w:szCs w:val="21"/>
          <w:u w:val="none"/>
          <w:shd w:val="clear" w:color="auto" w:fill="FFFFFF"/>
          <w:vertAlign w:val="baseline"/>
        </w:rPr>
        <w:t>（关键工序）</w:t>
      </w:r>
      <w:r>
        <w:rPr>
          <w:rFonts w:hint="eastAsia" w:ascii="宋体" w:eastAsia="宋体" w:cs="宋体"/>
          <w:i w:val="0"/>
          <w:iCs w:val="0"/>
          <w:caps w:val="0"/>
          <w:smallCaps w:val="0"/>
          <w:color w:val="000000"/>
          <w:spacing w:val="0"/>
          <w:sz w:val="21"/>
          <w:szCs w:val="21"/>
          <w:u w:val="none"/>
          <w:shd w:val="clear" w:color="auto" w:fill="FFFFFF"/>
          <w:vertAlign w:val="baseline"/>
        </w:rPr>
        <w:t>在中国境内完成。</w:t>
      </w:r>
    </w:p>
    <w:p w14:paraId="385449DE">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eastAsia="宋体" w:cs="宋体"/>
          <w:sz w:val="21"/>
          <w:szCs w:val="21"/>
        </w:rPr>
      </w:pPr>
      <w:r>
        <w:rPr>
          <w:rFonts w:hint="eastAsia" w:ascii="宋体" w:eastAsia="宋体" w:cs="宋体"/>
          <w:i w:val="0"/>
          <w:iCs w:val="0"/>
          <w:caps w:val="0"/>
          <w:smallCaps w:val="0"/>
          <w:color w:val="000000"/>
          <w:spacing w:val="0"/>
          <w:sz w:val="21"/>
          <w:szCs w:val="21"/>
          <w:u w:val="none"/>
          <w:shd w:val="clear" w:color="auto" w:fill="FFFFFF"/>
          <w:vertAlign w:val="baseline"/>
        </w:rPr>
        <w:t>……</w:t>
      </w:r>
    </w:p>
    <w:p w14:paraId="271ED461">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eastAsia="宋体" w:cs="宋体"/>
          <w:sz w:val="21"/>
          <w:szCs w:val="21"/>
        </w:rPr>
      </w:pPr>
      <w:r>
        <w:rPr>
          <w:rFonts w:hint="eastAsia" w:ascii="宋体" w:eastAsia="宋体" w:cs="宋体"/>
          <w:i w:val="0"/>
          <w:iCs w:val="0"/>
          <w:caps w:val="0"/>
          <w:smallCaps w:val="0"/>
          <w:color w:val="000000"/>
          <w:spacing w:val="0"/>
          <w:sz w:val="21"/>
          <w:szCs w:val="21"/>
          <w:u w:val="none"/>
          <w:shd w:val="clear" w:color="auto" w:fill="FFFFFF"/>
          <w:vertAlign w:val="baseline"/>
        </w:rPr>
        <w:t>本公司（单位）对上述声明内容的真实性负责。如有虚假，愿承担相应法律责任。</w:t>
      </w:r>
    </w:p>
    <w:p w14:paraId="724F0483">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eastAsia="宋体" w:cs="宋体"/>
          <w:sz w:val="21"/>
          <w:szCs w:val="21"/>
        </w:rPr>
      </w:pPr>
      <w:r>
        <w:rPr>
          <w:rFonts w:hint="eastAsia" w:ascii="宋体" w:eastAsia="宋体" w:cs="宋体"/>
          <w:i w:val="0"/>
          <w:iCs w:val="0"/>
          <w:caps w:val="0"/>
          <w:smallCaps w:val="0"/>
          <w:color w:val="000000"/>
          <w:spacing w:val="0"/>
          <w:sz w:val="21"/>
          <w:szCs w:val="21"/>
          <w:u w:val="none"/>
          <w:shd w:val="clear" w:color="auto" w:fill="FFFFFF"/>
          <w:vertAlign w:val="baseline"/>
        </w:rPr>
        <w:t> </w:t>
      </w:r>
    </w:p>
    <w:p w14:paraId="0F03431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tabs>
          <w:tab w:val="left" w:pos="7560"/>
        </w:tabs>
        <w:kinsoku/>
        <w:wordWrap/>
        <w:overflowPunct/>
        <w:topLinePunct w:val="0"/>
        <w:autoSpaceDE/>
        <w:autoSpaceDN/>
        <w:bidi w:val="0"/>
        <w:adjustRightInd/>
        <w:snapToGrid/>
        <w:spacing w:before="0" w:beforeAutospacing="0" w:after="0" w:afterAutospacing="0" w:line="560" w:lineRule="atLeast"/>
        <w:ind w:left="0" w:right="752" w:rightChars="358" w:firstLine="0"/>
        <w:jc w:val="right"/>
        <w:textAlignment w:val="baseline"/>
        <w:rPr>
          <w:rFonts w:hint="eastAsia" w:ascii="宋体" w:eastAsia="宋体" w:cs="宋体"/>
          <w:sz w:val="21"/>
          <w:szCs w:val="21"/>
        </w:rPr>
      </w:pPr>
      <w:r>
        <w:rPr>
          <w:rFonts w:hint="eastAsia" w:ascii="宋体" w:eastAsia="宋体" w:cs="宋体"/>
          <w:i w:val="0"/>
          <w:iCs w:val="0"/>
          <w:caps w:val="0"/>
          <w:smallCaps w:val="0"/>
          <w:color w:val="000000"/>
          <w:spacing w:val="0"/>
          <w:sz w:val="21"/>
          <w:szCs w:val="21"/>
          <w:u w:val="none"/>
          <w:shd w:val="clear" w:color="auto" w:fill="FFFFFF"/>
          <w:vertAlign w:val="baseline"/>
        </w:rPr>
        <w:t>公司（单位）名称：　        </w:t>
      </w:r>
    </w:p>
    <w:p w14:paraId="6219FBC9">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eastAsia="宋体" w:cs="宋体"/>
          <w:sz w:val="21"/>
          <w:szCs w:val="21"/>
        </w:rPr>
      </w:pPr>
      <w:r>
        <w:rPr>
          <w:rFonts w:hint="eastAsia" w:ascii="宋体" w:eastAsia="宋体" w:cs="宋体"/>
          <w:i w:val="0"/>
          <w:iCs w:val="0"/>
          <w:caps w:val="0"/>
          <w:smallCaps w:val="0"/>
          <w:color w:val="000000"/>
          <w:spacing w:val="0"/>
          <w:sz w:val="21"/>
          <w:szCs w:val="21"/>
          <w:u w:val="none"/>
          <w:shd w:val="clear" w:color="auto" w:fill="FFFFFF"/>
          <w:vertAlign w:val="baseline"/>
        </w:rPr>
        <w:t>日期：　     年　  月　  日         </w:t>
      </w:r>
    </w:p>
    <w:p w14:paraId="752FFCF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eastAsia="宋体" w:cs="宋体"/>
          <w:sz w:val="21"/>
          <w:szCs w:val="21"/>
        </w:rPr>
      </w:pPr>
      <w:r>
        <w:rPr>
          <w:rFonts w:hint="eastAsia" w:ascii="宋体" w:eastAsia="宋体" w:cs="宋体"/>
          <w:i w:val="0"/>
          <w:iCs w:val="0"/>
          <w:caps w:val="0"/>
          <w:smallCaps w:val="0"/>
          <w:color w:val="000000"/>
          <w:spacing w:val="0"/>
          <w:sz w:val="21"/>
          <w:szCs w:val="21"/>
          <w:u w:val="none"/>
          <w:shd w:val="clear" w:color="auto" w:fill="FFFFFF"/>
          <w:vertAlign w:val="baseline"/>
        </w:rPr>
        <w:t>__________________</w:t>
      </w:r>
    </w:p>
    <w:p w14:paraId="6EFCA1A0">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eastAsia="宋体" w:cs="宋体"/>
          <w:sz w:val="21"/>
          <w:szCs w:val="21"/>
        </w:rPr>
      </w:pPr>
      <w:r>
        <w:rPr>
          <w:rFonts w:hint="eastAsia" w:ascii="宋体" w:eastAsia="宋体" w:cs="宋体"/>
          <w:i w:val="0"/>
          <w:iCs w:val="0"/>
          <w:caps w:val="0"/>
          <w:smallCaps w:val="0"/>
          <w:color w:val="000000"/>
          <w:spacing w:val="0"/>
          <w:sz w:val="21"/>
          <w:szCs w:val="21"/>
          <w:u w:val="none"/>
          <w:shd w:val="clear" w:color="auto" w:fill="FFFFFF"/>
          <w:vertAlign w:val="baseline"/>
        </w:rPr>
        <w:t>1.产品如有型号，请在“产品名称”栏一并填写。</w:t>
      </w:r>
    </w:p>
    <w:p w14:paraId="2665AD1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eastAsia="宋体" w:cs="宋体"/>
          <w:sz w:val="21"/>
          <w:szCs w:val="21"/>
        </w:rPr>
      </w:pPr>
      <w:r>
        <w:rPr>
          <w:rFonts w:hint="eastAsia" w:ascii="宋体" w:eastAsia="宋体" w:cs="宋体"/>
          <w:i w:val="0"/>
          <w:iCs w:val="0"/>
          <w:caps w:val="0"/>
          <w:smallCaps w:val="0"/>
          <w:color w:val="000000"/>
          <w:spacing w:val="0"/>
          <w:sz w:val="21"/>
          <w:szCs w:val="21"/>
          <w:u w:val="none"/>
          <w:shd w:val="clear" w:color="auto" w:fill="FFFFFF"/>
          <w:vertAlign w:val="baseline"/>
        </w:rPr>
        <w:t>2.生产厂名与厂址应与生产厂营业执照载明的相关信息保持一致。</w:t>
      </w:r>
    </w:p>
    <w:p w14:paraId="1EA7D240">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eastAsia="宋体" w:cs="宋体"/>
          <w:sz w:val="21"/>
          <w:szCs w:val="21"/>
        </w:rPr>
      </w:pPr>
      <w:r>
        <w:rPr>
          <w:rFonts w:hint="eastAsia" w:ascii="宋体" w:eastAsia="宋体" w:cs="宋体"/>
          <w:i w:val="0"/>
          <w:iCs w:val="0"/>
          <w:caps w:val="0"/>
          <w:smallCaps w:val="0"/>
          <w:color w:val="000000"/>
          <w:spacing w:val="0"/>
          <w:sz w:val="21"/>
          <w:szCs w:val="21"/>
          <w:u w:val="none"/>
          <w:shd w:val="clear" w:color="auto" w:fill="FFFFFF"/>
          <w:vertAlign w:val="baseline"/>
        </w:rPr>
        <w:t>3.该产品的中国境内生产的组件成本占比相关要求实施前，“规定比例”栏可不填，下同。</w:t>
      </w:r>
    </w:p>
    <w:p w14:paraId="380C2C23">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eastAsia="宋体" w:cs="宋体"/>
          <w:sz w:val="21"/>
          <w:szCs w:val="21"/>
        </w:rPr>
      </w:pPr>
      <w:r>
        <w:rPr>
          <w:rFonts w:hint="eastAsia" w:ascii="宋体" w:eastAsia="宋体" w:cs="宋体"/>
          <w:i w:val="0"/>
          <w:iCs w:val="0"/>
          <w:caps w:val="0"/>
          <w:smallCaps w:val="0"/>
          <w:color w:val="000000"/>
          <w:spacing w:val="0"/>
          <w:sz w:val="21"/>
          <w:szCs w:val="21"/>
          <w:u w:val="none"/>
          <w:shd w:val="clear" w:color="auto" w:fill="FFFFFF"/>
          <w:vertAlign w:val="baseline"/>
        </w:rPr>
        <w:t>4.该产品的关键组件要求实施前，“关键组件”栏可不填，下同。</w:t>
      </w:r>
    </w:p>
    <w:p w14:paraId="29DBA10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eastAsia="宋体" w:cs="宋体"/>
          <w:i w:val="0"/>
          <w:iCs w:val="0"/>
          <w:caps w:val="0"/>
          <w:smallCaps w:val="0"/>
          <w:color w:val="000000"/>
          <w:spacing w:val="0"/>
          <w:sz w:val="21"/>
          <w:szCs w:val="21"/>
          <w:u w:val="none"/>
          <w:shd w:val="clear" w:color="auto" w:fill="FFFFFF"/>
          <w:vertAlign w:val="baseline"/>
        </w:rPr>
      </w:pPr>
      <w:r>
        <w:rPr>
          <w:rFonts w:hint="eastAsia" w:ascii="宋体" w:eastAsia="宋体" w:cs="宋体"/>
          <w:i w:val="0"/>
          <w:iCs w:val="0"/>
          <w:caps w:val="0"/>
          <w:smallCaps w:val="0"/>
          <w:color w:val="000000"/>
          <w:spacing w:val="0"/>
          <w:sz w:val="21"/>
          <w:szCs w:val="21"/>
          <w:u w:val="none"/>
          <w:shd w:val="clear" w:color="auto" w:fill="FFFFFF"/>
          <w:vertAlign w:val="baseline"/>
        </w:rPr>
        <w:t>5.该产品的关键工序要求实施前，“关键工序”栏可不填，下同。</w:t>
      </w:r>
    </w:p>
    <w:p w14:paraId="54A06950">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仿宋" w:eastAsia="仿宋" w:cs="仿宋"/>
          <w:b/>
          <w:bCs/>
          <w:i w:val="0"/>
          <w:iCs w:val="0"/>
          <w:caps w:val="0"/>
          <w:smallCaps w:val="0"/>
          <w:color w:val="000000"/>
          <w:spacing w:val="0"/>
          <w:sz w:val="24"/>
          <w:szCs w:val="24"/>
          <w:u w:val="none"/>
          <w:shd w:val="clear" w:color="auto" w:fill="FFFFFF"/>
          <w:vertAlign w:val="baseline"/>
          <w:lang w:val="en-US" w:eastAsia="zh-CN"/>
        </w:rPr>
      </w:pPr>
      <w:r>
        <w:rPr>
          <w:rFonts w:hint="eastAsia" w:ascii="宋体" w:eastAsia="宋体" w:cs="宋体"/>
          <w:b/>
          <w:bCs/>
          <w:i w:val="0"/>
          <w:iCs w:val="0"/>
          <w:caps w:val="0"/>
          <w:smallCaps w:val="0"/>
          <w:color w:val="000000"/>
          <w:spacing w:val="0"/>
          <w:sz w:val="21"/>
          <w:szCs w:val="21"/>
          <w:u w:val="none"/>
          <w:shd w:val="clear" w:color="auto"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r>
        <w:rPr>
          <w:rFonts w:hint="eastAsia" w:ascii="仿宋" w:eastAsia="仿宋" w:cs="仿宋"/>
          <w:b/>
          <w:bCs/>
          <w:i w:val="0"/>
          <w:iCs w:val="0"/>
          <w:caps w:val="0"/>
          <w:smallCaps w:val="0"/>
          <w:color w:val="000000"/>
          <w:spacing w:val="0"/>
          <w:sz w:val="24"/>
          <w:szCs w:val="24"/>
          <w:u w:val="none"/>
          <w:shd w:val="clear" w:color="auto" w:fill="FFFFFF"/>
          <w:vertAlign w:val="baseline"/>
          <w:lang w:val="en-US" w:eastAsia="zh-CN"/>
        </w:rPr>
        <w:t>。</w:t>
      </w:r>
    </w:p>
    <w:p w14:paraId="13460FDF">
      <w:pPr>
        <w:jc w:val="center"/>
        <w:rPr>
          <w:rFonts w:hint="eastAsia" w:ascii="黑体" w:eastAsia="黑体"/>
          <w:bCs/>
          <w:kern w:val="0"/>
          <w:sz w:val="24"/>
          <w:szCs w:val="24"/>
        </w:rPr>
      </w:pPr>
    </w:p>
    <w:p w14:paraId="6EC47A46">
      <w:pPr>
        <w:jc w:val="center"/>
        <w:rPr>
          <w:rFonts w:hint="eastAsia" w:ascii="黑体" w:eastAsia="黑体"/>
          <w:bCs/>
          <w:kern w:val="0"/>
          <w:sz w:val="24"/>
          <w:szCs w:val="24"/>
          <w:lang w:val="en-US" w:eastAsia="zh-CN"/>
        </w:rPr>
      </w:pPr>
    </w:p>
    <w:p w14:paraId="6C53B005">
      <w:pPr>
        <w:jc w:val="center"/>
        <w:outlineLvl w:val="3"/>
        <w:rPr>
          <w:rFonts w:hint="eastAsia" w:ascii="黑体" w:eastAsia="黑体"/>
          <w:bCs/>
          <w:kern w:val="0"/>
          <w:sz w:val="24"/>
          <w:szCs w:val="32"/>
          <w:lang w:eastAsia="zh-CN"/>
        </w:rPr>
      </w:pPr>
      <w:r>
        <w:rPr>
          <w:rFonts w:hint="eastAsia" w:ascii="黑体" w:eastAsia="黑体"/>
          <w:bCs/>
          <w:kern w:val="0"/>
          <w:sz w:val="24"/>
          <w:szCs w:val="32"/>
          <w:lang w:val="en-US" w:eastAsia="zh-CN"/>
        </w:rPr>
        <w:t>五</w:t>
      </w:r>
      <w:r>
        <w:rPr>
          <w:rFonts w:hint="eastAsia" w:ascii="黑体" w:eastAsia="黑体"/>
          <w:bCs/>
          <w:kern w:val="0"/>
          <w:sz w:val="24"/>
          <w:szCs w:val="32"/>
        </w:rPr>
        <w:t>、企业资质证书</w:t>
      </w:r>
      <w:r>
        <w:rPr>
          <w:rFonts w:hint="eastAsia" w:ascii="黑体" w:eastAsia="黑体"/>
          <w:bCs/>
          <w:kern w:val="0"/>
          <w:sz w:val="24"/>
          <w:szCs w:val="32"/>
          <w:lang w:eastAsia="zh-CN"/>
        </w:rPr>
        <w:t>（</w:t>
      </w:r>
      <w:r>
        <w:rPr>
          <w:rFonts w:hint="eastAsia" w:ascii="黑体" w:eastAsia="黑体"/>
          <w:bCs/>
          <w:kern w:val="0"/>
          <w:sz w:val="24"/>
          <w:szCs w:val="32"/>
          <w:lang w:val="en-US" w:eastAsia="zh-CN"/>
        </w:rPr>
        <w:t>格式自拟</w:t>
      </w:r>
      <w:r>
        <w:rPr>
          <w:rFonts w:hint="eastAsia" w:ascii="黑体" w:eastAsia="黑体"/>
          <w:bCs/>
          <w:kern w:val="0"/>
          <w:sz w:val="24"/>
          <w:szCs w:val="32"/>
          <w:lang w:eastAsia="zh-CN"/>
        </w:rPr>
        <w:t>）</w:t>
      </w:r>
    </w:p>
    <w:p w14:paraId="2CE2035D">
      <w:pPr>
        <w:jc w:val="center"/>
        <w:rPr>
          <w:rFonts w:hint="eastAsia" w:ascii="黑体" w:eastAsia="黑体"/>
          <w:bCs/>
          <w:kern w:val="0"/>
          <w:sz w:val="24"/>
          <w:szCs w:val="24"/>
        </w:rPr>
      </w:pPr>
    </w:p>
    <w:p w14:paraId="1167C6EC">
      <w:pPr>
        <w:jc w:val="center"/>
        <w:rPr>
          <w:rFonts w:hint="eastAsia" w:ascii="黑体" w:eastAsia="黑体"/>
          <w:bCs/>
          <w:kern w:val="0"/>
          <w:sz w:val="24"/>
          <w:szCs w:val="24"/>
          <w:lang w:eastAsia="zh-CN"/>
        </w:rPr>
      </w:pPr>
      <w:r>
        <w:rPr>
          <w:rFonts w:hint="eastAsia" w:ascii="黑体" w:eastAsia="黑体"/>
          <w:bCs/>
          <w:kern w:val="0"/>
          <w:sz w:val="24"/>
          <w:szCs w:val="24"/>
          <w:lang w:val="en-US" w:eastAsia="zh-CN"/>
        </w:rPr>
        <w:t>六、</w:t>
      </w:r>
      <w:r>
        <w:rPr>
          <w:rFonts w:hint="eastAsia" w:ascii="黑体" w:eastAsia="黑体"/>
          <w:bCs/>
          <w:kern w:val="0"/>
          <w:sz w:val="24"/>
          <w:szCs w:val="24"/>
        </w:rPr>
        <w:t>体系认证</w:t>
      </w:r>
      <w:r>
        <w:rPr>
          <w:rFonts w:hint="eastAsia" w:ascii="黑体" w:eastAsia="黑体"/>
          <w:bCs/>
          <w:kern w:val="0"/>
          <w:sz w:val="24"/>
          <w:szCs w:val="32"/>
          <w:lang w:eastAsia="zh-CN"/>
        </w:rPr>
        <w:t>（</w:t>
      </w:r>
      <w:r>
        <w:rPr>
          <w:rFonts w:hint="eastAsia" w:ascii="黑体" w:eastAsia="黑体"/>
          <w:bCs/>
          <w:kern w:val="0"/>
          <w:sz w:val="24"/>
          <w:szCs w:val="32"/>
          <w:lang w:val="en-US" w:eastAsia="zh-CN"/>
        </w:rPr>
        <w:t>格式自拟</w:t>
      </w:r>
      <w:r>
        <w:rPr>
          <w:rFonts w:hint="eastAsia" w:ascii="黑体" w:eastAsia="黑体"/>
          <w:bCs/>
          <w:kern w:val="0"/>
          <w:sz w:val="24"/>
          <w:szCs w:val="32"/>
          <w:lang w:eastAsia="zh-CN"/>
        </w:rPr>
        <w:t>）</w:t>
      </w:r>
    </w:p>
    <w:p w14:paraId="50A941DF">
      <w:pPr>
        <w:widowControl/>
        <w:jc w:val="left"/>
        <w:rPr>
          <w:rFonts w:ascii="仿宋_GB2312" w:eastAsia="仿宋_GB2312"/>
          <w:b/>
          <w:color w:val="FF0000"/>
          <w:sz w:val="30"/>
          <w:szCs w:val="30"/>
        </w:rPr>
      </w:pPr>
    </w:p>
    <w:p w14:paraId="1CD45EAF">
      <w:pPr>
        <w:rPr>
          <w:rFonts w:hint="eastAsia" w:ascii="仿宋_GB2312" w:eastAsia="仿宋_GB2312"/>
          <w:b/>
          <w:color w:val="FF0000"/>
          <w:sz w:val="30"/>
          <w:szCs w:val="30"/>
        </w:rPr>
      </w:pPr>
      <w:r>
        <w:rPr>
          <w:rFonts w:hint="eastAsia" w:ascii="仿宋_GB2312" w:eastAsia="仿宋_GB2312"/>
          <w:b/>
          <w:color w:val="FF0000"/>
          <w:sz w:val="30"/>
          <w:szCs w:val="30"/>
        </w:rPr>
        <w:br w:type="page"/>
      </w:r>
    </w:p>
    <w:p w14:paraId="233C0639">
      <w:r>
        <w:rPr>
          <w:rFonts w:hint="eastAsia" w:ascii="仿宋_GB2312" w:eastAsia="仿宋_GB2312"/>
          <w:b/>
          <w:color w:val="FF0000"/>
          <w:sz w:val="30"/>
          <w:szCs w:val="30"/>
        </w:rPr>
        <w:t>投标文件附件（信息不公开部分）：</w:t>
      </w:r>
    </w:p>
    <w:p w14:paraId="6795D0F1">
      <w:pPr>
        <w:keepNext/>
        <w:keepLines/>
        <w:widowControl w:val="0"/>
        <w:spacing w:before="260" w:after="260"/>
        <w:jc w:val="center"/>
        <w:outlineLvl w:val="2"/>
        <w:rPr>
          <w:rFonts w:ascii="黑体" w:eastAsia="黑体"/>
          <w:bCs/>
          <w:kern w:val="0"/>
          <w:sz w:val="24"/>
          <w:szCs w:val="32"/>
        </w:rPr>
      </w:pPr>
      <w:r>
        <w:rPr>
          <w:rFonts w:hint="eastAsia" w:ascii="黑体" w:eastAsia="黑体"/>
          <w:bCs/>
          <w:kern w:val="0"/>
          <w:sz w:val="24"/>
          <w:szCs w:val="32"/>
          <w:lang w:val="en-US" w:eastAsia="zh-CN"/>
        </w:rPr>
        <w:t>七</w:t>
      </w:r>
      <w:r>
        <w:rPr>
          <w:rFonts w:hint="eastAsia" w:ascii="黑体" w:eastAsia="黑体"/>
          <w:bCs/>
          <w:kern w:val="0"/>
          <w:sz w:val="24"/>
          <w:szCs w:val="32"/>
        </w:rPr>
        <w:t>、政府采购违法行为风险知悉确认书</w:t>
      </w:r>
    </w:p>
    <w:p w14:paraId="1B7F36BD">
      <w:pPr>
        <w:spacing w:before="0" w:after="120" w:afterLines="50" w:line="360" w:lineRule="exact"/>
        <w:ind w:firstLine="422" w:firstLineChars="200"/>
        <w:rPr>
          <w:rFonts w:hint="eastAsia" w:ascii="宋体" w:eastAsia="宋体" w:cs="宋体"/>
          <w:b/>
          <w:bCs/>
          <w:color w:val="auto"/>
          <w:sz w:val="21"/>
          <w:szCs w:val="21"/>
          <w:lang w:val="en-US" w:eastAsia="zh-CN"/>
        </w:rPr>
      </w:pPr>
      <w:r>
        <w:rPr>
          <w:rFonts w:hint="eastAsia" w:ascii="宋体" w:eastAsia="宋体" w:cs="宋体"/>
          <w:b/>
          <w:bCs/>
          <w:color w:val="auto"/>
          <w:sz w:val="21"/>
          <w:szCs w:val="21"/>
          <w:lang w:eastAsia="zh-CN"/>
        </w:rPr>
        <w:t>我</w:t>
      </w:r>
      <w:r>
        <w:rPr>
          <w:rFonts w:hint="eastAsia" w:ascii="宋体" w:eastAsia="宋体" w:cs="宋体"/>
          <w:b/>
          <w:bCs/>
          <w:color w:val="auto"/>
          <w:sz w:val="21"/>
          <w:szCs w:val="21"/>
          <w:lang w:val="en-US" w:eastAsia="zh-CN"/>
        </w:rPr>
        <w:t>单位</w:t>
      </w:r>
      <w:r>
        <w:rPr>
          <w:rFonts w:hint="eastAsia" w:asci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0B553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11" w:type="dxa"/>
          </w:tcPr>
          <w:p w14:paraId="1C77F1E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序号</w:t>
            </w:r>
          </w:p>
        </w:tc>
        <w:tc>
          <w:tcPr>
            <w:tcW w:w="7811" w:type="dxa"/>
          </w:tcPr>
          <w:p w14:paraId="6371820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eastAsia="宋体" w:cs="宋体"/>
                <w:color w:val="auto"/>
                <w:sz w:val="21"/>
                <w:szCs w:val="21"/>
                <w:highlight w:val="none"/>
                <w:lang w:val="en-US" w:eastAsia="zh-CN"/>
              </w:rPr>
            </w:pPr>
            <w:r>
              <w:rPr>
                <w:rFonts w:hint="eastAsia" w:ascii="宋体" w:eastAsia="宋体" w:cs="宋体"/>
                <w:b/>
                <w:bCs/>
                <w:color w:val="auto"/>
                <w:sz w:val="21"/>
                <w:szCs w:val="21"/>
                <w:highlight w:val="none"/>
                <w:lang w:val="en-US" w:eastAsia="zh-CN"/>
              </w:rPr>
              <w:t>供应商参与投标禁止情形</w:t>
            </w:r>
          </w:p>
        </w:tc>
      </w:tr>
      <w:tr w14:paraId="4A8A5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Pr>
          <w:p w14:paraId="3AF6645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1</w:t>
            </w:r>
          </w:p>
        </w:tc>
        <w:tc>
          <w:tcPr>
            <w:tcW w:w="7811" w:type="dxa"/>
            <w:noWrap/>
            <w:vAlign w:val="center"/>
          </w:tcPr>
          <w:p w14:paraId="62C9410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eastAsia="宋体" w:cs="宋体"/>
                <w:b/>
                <w:bCs/>
                <w:color w:val="auto"/>
                <w:sz w:val="21"/>
                <w:szCs w:val="21"/>
                <w:highlight w:val="none"/>
                <w:lang w:val="en-US" w:eastAsia="zh-CN"/>
              </w:rPr>
              <w:t>同一人、属同一单位或者在同一单位缴纳社会保险</w:t>
            </w:r>
            <w:r>
              <w:rPr>
                <w:rFonts w:hint="eastAsia" w:ascii="宋体" w:eastAsia="宋体" w:cs="宋体"/>
                <w:color w:val="auto"/>
                <w:sz w:val="21"/>
                <w:szCs w:val="21"/>
                <w:highlight w:val="none"/>
                <w:lang w:val="en-US" w:eastAsia="zh-CN"/>
              </w:rPr>
              <w:t>。</w:t>
            </w:r>
          </w:p>
        </w:tc>
      </w:tr>
      <w:tr w14:paraId="73A8F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tcPr>
          <w:p w14:paraId="51F322A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2</w:t>
            </w:r>
          </w:p>
        </w:tc>
        <w:tc>
          <w:tcPr>
            <w:tcW w:w="7811" w:type="dxa"/>
            <w:noWrap/>
            <w:vAlign w:val="center"/>
          </w:tcPr>
          <w:p w14:paraId="2114D01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参与本项目政府采购活动时，与其他投标供应商存在单位负责人为</w:t>
            </w:r>
            <w:r>
              <w:rPr>
                <w:rFonts w:hint="eastAsia" w:ascii="宋体" w:eastAsia="宋体" w:cs="宋体"/>
                <w:b/>
                <w:bCs/>
                <w:color w:val="auto"/>
                <w:sz w:val="21"/>
                <w:szCs w:val="21"/>
                <w:highlight w:val="none"/>
                <w:lang w:val="en-US" w:eastAsia="zh-CN"/>
              </w:rPr>
              <w:t>同一人或直接控股、管理关系</w:t>
            </w:r>
            <w:r>
              <w:rPr>
                <w:rFonts w:hint="eastAsia" w:ascii="宋体" w:eastAsia="宋体" w:cs="宋体"/>
                <w:color w:val="auto"/>
                <w:sz w:val="21"/>
                <w:szCs w:val="21"/>
                <w:highlight w:val="none"/>
                <w:lang w:val="en-US" w:eastAsia="zh-CN"/>
              </w:rPr>
              <w:t>。</w:t>
            </w:r>
          </w:p>
        </w:tc>
      </w:tr>
      <w:tr w14:paraId="2FB7B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Pr>
          <w:p w14:paraId="120498C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3</w:t>
            </w:r>
          </w:p>
        </w:tc>
        <w:tc>
          <w:tcPr>
            <w:tcW w:w="7811" w:type="dxa"/>
            <w:noWrap/>
            <w:vAlign w:val="center"/>
          </w:tcPr>
          <w:p w14:paraId="46627C2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与其他投标供应商的投标文件或部分投标文件</w:t>
            </w:r>
            <w:r>
              <w:rPr>
                <w:rFonts w:hint="eastAsia" w:ascii="宋体" w:eastAsia="宋体" w:cs="宋体"/>
                <w:b/>
                <w:bCs/>
                <w:color w:val="auto"/>
                <w:sz w:val="21"/>
                <w:szCs w:val="21"/>
                <w:highlight w:val="none"/>
                <w:lang w:val="en-US" w:eastAsia="zh-CN"/>
              </w:rPr>
              <w:t>相互混装或存在非正常一致</w:t>
            </w:r>
            <w:r>
              <w:rPr>
                <w:rFonts w:hint="eastAsia" w:ascii="宋体" w:eastAsia="宋体" w:cs="宋体"/>
                <w:color w:val="auto"/>
                <w:sz w:val="21"/>
                <w:szCs w:val="21"/>
                <w:highlight w:val="none"/>
                <w:lang w:val="en-US" w:eastAsia="zh-CN"/>
              </w:rPr>
              <w:t>。</w:t>
            </w:r>
          </w:p>
        </w:tc>
      </w:tr>
      <w:tr w14:paraId="2629F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Pr>
          <w:p w14:paraId="35530DB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4</w:t>
            </w:r>
          </w:p>
        </w:tc>
        <w:tc>
          <w:tcPr>
            <w:tcW w:w="7811" w:type="dxa"/>
            <w:noWrap/>
            <w:vAlign w:val="center"/>
          </w:tcPr>
          <w:p w14:paraId="67748B7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eastAsia="宋体" w:cs="宋体"/>
                <w:color w:val="auto"/>
                <w:kern w:val="2"/>
                <w:sz w:val="21"/>
                <w:szCs w:val="21"/>
                <w:highlight w:val="none"/>
                <w:lang w:val="en-US" w:eastAsia="zh-CN" w:bidi="ar-SA"/>
              </w:rPr>
            </w:pPr>
            <w:r>
              <w:rPr>
                <w:rFonts w:hint="eastAsia" w:ascii="宋体" w:eastAsia="宋体" w:cs="宋体"/>
                <w:color w:val="auto"/>
                <w:sz w:val="21"/>
                <w:szCs w:val="21"/>
                <w:highlight w:val="none"/>
                <w:lang w:val="en-US" w:eastAsia="zh-CN"/>
              </w:rPr>
              <w:t>与其他投标供应商的投标文件由</w:t>
            </w:r>
            <w:r>
              <w:rPr>
                <w:rFonts w:hint="eastAsia" w:ascii="宋体" w:eastAsia="宋体" w:cs="宋体"/>
                <w:b/>
                <w:bCs/>
                <w:color w:val="auto"/>
                <w:sz w:val="21"/>
                <w:szCs w:val="21"/>
                <w:highlight w:val="none"/>
                <w:lang w:val="en-US" w:eastAsia="zh-CN"/>
              </w:rPr>
              <w:t>同一单位或者同一人编制</w:t>
            </w:r>
            <w:r>
              <w:rPr>
                <w:rFonts w:hint="eastAsia" w:ascii="宋体" w:eastAsia="宋体" w:cs="宋体"/>
                <w:color w:val="auto"/>
                <w:sz w:val="21"/>
                <w:szCs w:val="21"/>
                <w:highlight w:val="none"/>
                <w:lang w:val="en-US" w:eastAsia="zh-CN"/>
              </w:rPr>
              <w:t>，或者使用</w:t>
            </w:r>
            <w:r>
              <w:rPr>
                <w:rFonts w:hint="eastAsia" w:ascii="宋体" w:eastAsia="宋体" w:cs="宋体"/>
                <w:b/>
                <w:bCs/>
                <w:color w:val="auto"/>
                <w:sz w:val="21"/>
                <w:szCs w:val="21"/>
                <w:highlight w:val="none"/>
                <w:lang w:val="en-US" w:eastAsia="zh-CN"/>
              </w:rPr>
              <w:t>同一设备编制</w:t>
            </w:r>
            <w:r>
              <w:rPr>
                <w:rFonts w:hint="eastAsia" w:ascii="宋体" w:eastAsia="宋体" w:cs="宋体"/>
                <w:color w:val="auto"/>
                <w:sz w:val="21"/>
                <w:szCs w:val="21"/>
                <w:highlight w:val="none"/>
                <w:lang w:val="en-US" w:eastAsia="zh-CN"/>
              </w:rPr>
              <w:t>（“文件制作机器码”“文件创建标识码”一致）。</w:t>
            </w:r>
          </w:p>
        </w:tc>
      </w:tr>
      <w:tr w14:paraId="17371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tcPr>
          <w:p w14:paraId="22F4D5C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5</w:t>
            </w:r>
          </w:p>
        </w:tc>
        <w:tc>
          <w:tcPr>
            <w:tcW w:w="7811" w:type="dxa"/>
            <w:noWrap/>
            <w:vAlign w:val="center"/>
          </w:tcPr>
          <w:p w14:paraId="54C3B44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提供</w:t>
            </w:r>
            <w:r>
              <w:rPr>
                <w:rFonts w:hint="eastAsia" w:ascii="宋体" w:eastAsia="宋体" w:cs="宋体"/>
                <w:b/>
                <w:bCs/>
                <w:color w:val="auto"/>
                <w:sz w:val="21"/>
                <w:szCs w:val="21"/>
                <w:highlight w:val="none"/>
                <w:lang w:val="en-US" w:eastAsia="zh-CN"/>
              </w:rPr>
              <w:t>未经出具机构核实</w:t>
            </w:r>
            <w:r>
              <w:rPr>
                <w:rFonts w:hint="eastAsia" w:ascii="宋体" w:eastAsia="宋体" w:cs="宋体"/>
                <w:color w:val="auto"/>
                <w:sz w:val="21"/>
                <w:szCs w:val="21"/>
                <w:highlight w:val="none"/>
                <w:lang w:val="en-US" w:eastAsia="zh-CN"/>
              </w:rPr>
              <w:t>的虚假的检验检测报告、业绩材料、社保缴纳证明、学历学位证书、职称认证证书等材料。</w:t>
            </w:r>
          </w:p>
        </w:tc>
      </w:tr>
      <w:tr w14:paraId="256AF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Pr>
          <w:p w14:paraId="3332C27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eastAsia="宋体" w:cs="宋体"/>
                <w:color w:val="auto"/>
                <w:sz w:val="21"/>
                <w:szCs w:val="21"/>
                <w:highlight w:val="none"/>
                <w:lang w:val="en-US" w:eastAsia="zh-CN"/>
              </w:rPr>
            </w:pPr>
            <w:r>
              <w:rPr>
                <w:rFonts w:hint="eastAsia" w:ascii="宋体" w:eastAsia="宋体" w:cs="宋体"/>
                <w:color w:val="auto"/>
                <w:sz w:val="21"/>
                <w:szCs w:val="21"/>
                <w:highlight w:val="none"/>
                <w:lang w:val="en-US" w:eastAsia="zh-CN"/>
              </w:rPr>
              <w:t>6</w:t>
            </w:r>
          </w:p>
        </w:tc>
        <w:tc>
          <w:tcPr>
            <w:tcW w:w="7811" w:type="dxa"/>
            <w:noWrap/>
            <w:vAlign w:val="center"/>
          </w:tcPr>
          <w:p w14:paraId="7A622B6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eastAsia="宋体" w:cs="宋体"/>
                <w:color w:val="auto"/>
                <w:kern w:val="2"/>
                <w:sz w:val="21"/>
                <w:szCs w:val="21"/>
                <w:highlight w:val="none"/>
                <w:lang w:val="en-US" w:eastAsia="zh-CN" w:bidi="ar-SA"/>
              </w:rPr>
            </w:pPr>
            <w:r>
              <w:rPr>
                <w:rFonts w:hint="eastAsia" w:ascii="宋体" w:eastAsia="宋体" w:cs="宋体"/>
                <w:color w:val="auto"/>
                <w:sz w:val="21"/>
                <w:szCs w:val="21"/>
                <w:highlight w:val="none"/>
                <w:lang w:val="en-US" w:eastAsia="zh-CN"/>
              </w:rPr>
              <w:t>擅自将投标密钥或电子营业执照出借他人使用或未妥善保管。</w:t>
            </w:r>
          </w:p>
        </w:tc>
      </w:tr>
    </w:tbl>
    <w:p w14:paraId="3609DCB5">
      <w:pPr>
        <w:spacing w:before="120" w:beforeLines="50" w:line="380" w:lineRule="exact"/>
        <w:ind w:firstLine="422" w:firstLineChars="200"/>
        <w:rPr>
          <w:rFonts w:hint="eastAsia" w:ascii="宋体" w:eastAsia="宋体" w:cs="宋体"/>
          <w:b/>
          <w:color w:val="auto"/>
          <w:sz w:val="21"/>
          <w:szCs w:val="21"/>
        </w:rPr>
      </w:pPr>
      <w:r>
        <w:rPr>
          <w:rFonts w:hint="eastAsia" w:ascii="宋体" w:eastAsia="宋体" w:cs="宋体"/>
          <w:b/>
          <w:color w:val="auto"/>
          <w:sz w:val="21"/>
          <w:szCs w:val="21"/>
        </w:rPr>
        <w:t>一、</w:t>
      </w:r>
      <w:r>
        <w:rPr>
          <w:rFonts w:hint="eastAsia" w:ascii="宋体" w:eastAsia="宋体" w:cs="宋体"/>
          <w:b/>
          <w:color w:val="auto"/>
          <w:sz w:val="21"/>
          <w:szCs w:val="21"/>
          <w:lang w:eastAsia="zh-CN"/>
        </w:rPr>
        <w:t>我</w:t>
      </w:r>
      <w:r>
        <w:rPr>
          <w:rFonts w:hint="eastAsia" w:ascii="宋体" w:eastAsia="宋体" w:cs="宋体"/>
          <w:b/>
          <w:color w:val="auto"/>
          <w:sz w:val="21"/>
          <w:szCs w:val="21"/>
          <w:lang w:val="en-US" w:eastAsia="zh-CN"/>
        </w:rPr>
        <w:t>单位</w:t>
      </w:r>
      <w:r>
        <w:rPr>
          <w:rFonts w:hint="eastAsia" w:ascii="宋体" w:eastAsia="宋体" w:cs="宋体"/>
          <w:b/>
          <w:color w:val="auto"/>
          <w:sz w:val="21"/>
          <w:szCs w:val="21"/>
        </w:rPr>
        <w:t>已充分知悉“隐瞒真实情况，提供虚假资料”的法定情形，包括但不限于：</w:t>
      </w:r>
    </w:p>
    <w:p w14:paraId="749EE87A">
      <w:pPr>
        <w:spacing w:before="0" w:line="380" w:lineRule="exact"/>
        <w:ind w:firstLine="420" w:firstLineChars="200"/>
        <w:rPr>
          <w:rFonts w:hint="eastAsia" w:ascii="宋体" w:eastAsia="宋体" w:cs="宋体"/>
          <w:color w:val="auto"/>
          <w:sz w:val="21"/>
          <w:szCs w:val="21"/>
        </w:rPr>
      </w:pPr>
      <w:r>
        <w:rPr>
          <w:rFonts w:hint="eastAsia" w:ascii="宋体" w:eastAsia="宋体" w:cs="宋体"/>
          <w:color w:val="auto"/>
          <w:sz w:val="21"/>
          <w:szCs w:val="21"/>
        </w:rPr>
        <w:t>（一）通过转让或者租借等方式从其他单位获取资格或者资质证书投标的</w:t>
      </w:r>
      <w:r>
        <w:rPr>
          <w:rFonts w:hint="eastAsia" w:ascii="宋体" w:eastAsia="宋体" w:cs="宋体"/>
          <w:color w:val="auto"/>
          <w:sz w:val="21"/>
          <w:szCs w:val="21"/>
          <w:highlight w:val="none"/>
        </w:rPr>
        <w:t>。</w:t>
      </w:r>
    </w:p>
    <w:p w14:paraId="3ADEDE7B">
      <w:pPr>
        <w:spacing w:before="0" w:line="380" w:lineRule="exact"/>
        <w:ind w:firstLine="420" w:firstLineChars="200"/>
        <w:rPr>
          <w:rFonts w:hint="eastAsia" w:ascii="宋体" w:eastAsia="宋体" w:cs="宋体"/>
          <w:color w:val="auto"/>
          <w:sz w:val="21"/>
          <w:szCs w:val="21"/>
        </w:rPr>
      </w:pPr>
      <w:r>
        <w:rPr>
          <w:rFonts w:hint="eastAsia" w:ascii="宋体" w:eastAsia="宋体" w:cs="宋体"/>
          <w:color w:val="auto"/>
          <w:sz w:val="21"/>
          <w:szCs w:val="21"/>
        </w:rPr>
        <w:t>（二）由其他单位或者其他单位负责人在投标供应商编制的投标文件上加盖印章或者签字的。</w:t>
      </w:r>
    </w:p>
    <w:p w14:paraId="41FE2AB5">
      <w:pPr>
        <w:spacing w:before="0" w:line="380" w:lineRule="exact"/>
        <w:ind w:firstLine="420" w:firstLineChars="200"/>
        <w:rPr>
          <w:rFonts w:hint="eastAsia" w:ascii="宋体" w:eastAsia="宋体" w:cs="宋体"/>
          <w:color w:val="auto"/>
          <w:sz w:val="21"/>
          <w:szCs w:val="21"/>
        </w:rPr>
      </w:pPr>
      <w:r>
        <w:rPr>
          <w:rFonts w:hint="eastAsia" w:ascii="宋体" w:eastAsia="宋体" w:cs="宋体"/>
          <w:color w:val="auto"/>
          <w:sz w:val="21"/>
          <w:szCs w:val="21"/>
        </w:rPr>
        <w:t>（三）项目负责人或者主要技术人员不是本单位人员的。</w:t>
      </w:r>
    </w:p>
    <w:p w14:paraId="63BDA9CB">
      <w:pPr>
        <w:spacing w:before="0" w:line="380" w:lineRule="exact"/>
        <w:ind w:firstLine="420" w:firstLineChars="200"/>
        <w:rPr>
          <w:rFonts w:hint="eastAsia" w:ascii="宋体" w:eastAsia="宋体" w:cs="宋体"/>
          <w:color w:val="auto"/>
          <w:sz w:val="21"/>
          <w:szCs w:val="21"/>
        </w:rPr>
      </w:pPr>
      <w:r>
        <w:rPr>
          <w:rFonts w:hint="eastAsia" w:ascii="宋体" w:eastAsia="宋体" w:cs="宋体"/>
          <w:color w:val="auto"/>
          <w:sz w:val="21"/>
          <w:szCs w:val="21"/>
        </w:rPr>
        <w:t>（四）投标保证金不是从投标供应商基本账户转出的。</w:t>
      </w:r>
    </w:p>
    <w:p w14:paraId="3647CDA5">
      <w:pPr>
        <w:spacing w:before="0" w:line="380" w:lineRule="exact"/>
        <w:ind w:firstLine="420" w:firstLineChars="200"/>
        <w:rPr>
          <w:rFonts w:hint="eastAsia" w:ascii="宋体" w:eastAsia="宋体" w:cs="宋体"/>
          <w:color w:val="auto"/>
          <w:sz w:val="21"/>
          <w:szCs w:val="21"/>
        </w:rPr>
      </w:pPr>
      <w:r>
        <w:rPr>
          <w:rFonts w:hint="eastAsia" w:ascii="宋体" w:eastAsia="宋体" w:cs="宋体"/>
          <w:color w:val="auto"/>
          <w:sz w:val="21"/>
          <w:szCs w:val="21"/>
        </w:rPr>
        <w:t>（五）其他隐瞒真实情况、提供虚假资料的行为。</w:t>
      </w:r>
    </w:p>
    <w:p w14:paraId="00A1A5B7">
      <w:pPr>
        <w:spacing w:before="0" w:line="380" w:lineRule="exact"/>
        <w:ind w:firstLine="422" w:firstLineChars="200"/>
        <w:rPr>
          <w:rFonts w:hint="eastAsia" w:ascii="宋体" w:eastAsia="宋体" w:cs="宋体"/>
          <w:b/>
          <w:color w:val="auto"/>
          <w:sz w:val="21"/>
          <w:szCs w:val="21"/>
        </w:rPr>
      </w:pPr>
      <w:r>
        <w:rPr>
          <w:rFonts w:hint="eastAsia" w:ascii="宋体" w:eastAsia="宋体" w:cs="宋体"/>
          <w:b/>
          <w:color w:val="auto"/>
          <w:sz w:val="21"/>
          <w:szCs w:val="21"/>
        </w:rPr>
        <w:t>二、</w:t>
      </w:r>
      <w:r>
        <w:rPr>
          <w:rFonts w:hint="eastAsia" w:ascii="宋体" w:eastAsia="宋体" w:cs="宋体"/>
          <w:b/>
          <w:color w:val="auto"/>
          <w:sz w:val="21"/>
          <w:szCs w:val="21"/>
          <w:lang w:eastAsia="zh-CN"/>
        </w:rPr>
        <w:t>我</w:t>
      </w:r>
      <w:r>
        <w:rPr>
          <w:rFonts w:hint="eastAsia" w:ascii="宋体" w:eastAsia="宋体" w:cs="宋体"/>
          <w:b/>
          <w:color w:val="auto"/>
          <w:sz w:val="21"/>
          <w:szCs w:val="21"/>
          <w:lang w:val="en-US" w:eastAsia="zh-CN"/>
        </w:rPr>
        <w:t>单位</w:t>
      </w:r>
      <w:r>
        <w:rPr>
          <w:rFonts w:hint="eastAsia" w:ascii="宋体" w:eastAsia="宋体" w:cs="宋体"/>
          <w:b/>
          <w:color w:val="auto"/>
          <w:sz w:val="21"/>
          <w:szCs w:val="21"/>
        </w:rPr>
        <w:t>已充分知悉“与其他采购参加人串通投标”的法定情形，包括但不限于：</w:t>
      </w:r>
    </w:p>
    <w:p w14:paraId="1876CE3C">
      <w:pPr>
        <w:spacing w:before="0" w:line="380" w:lineRule="exact"/>
        <w:ind w:firstLine="420" w:firstLineChars="200"/>
        <w:rPr>
          <w:rFonts w:hint="eastAsia" w:ascii="宋体" w:eastAsia="宋体" w:cs="宋体"/>
          <w:color w:val="auto"/>
          <w:sz w:val="21"/>
          <w:szCs w:val="21"/>
        </w:rPr>
      </w:pPr>
      <w:r>
        <w:rPr>
          <w:rFonts w:hint="eastAsia" w:ascii="宋体" w:eastAsia="宋体" w:cs="宋体"/>
          <w:color w:val="auto"/>
          <w:sz w:val="21"/>
          <w:szCs w:val="21"/>
        </w:rPr>
        <w:t>（一）投标供应商之间相互约定给予未中标的供应商利益补偿。</w:t>
      </w:r>
    </w:p>
    <w:p w14:paraId="28B9AA8C">
      <w:pPr>
        <w:spacing w:before="0" w:line="380" w:lineRule="exact"/>
        <w:ind w:firstLine="420" w:firstLineChars="200"/>
        <w:rPr>
          <w:rFonts w:hint="eastAsia" w:ascii="宋体" w:eastAsia="宋体" w:cs="宋体"/>
          <w:color w:val="auto"/>
          <w:sz w:val="21"/>
          <w:szCs w:val="21"/>
        </w:rPr>
      </w:pPr>
      <w:r>
        <w:rPr>
          <w:rFonts w:hint="eastAsia" w:asci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6EA8C30F">
      <w:pPr>
        <w:spacing w:before="0" w:line="340" w:lineRule="exact"/>
        <w:ind w:firstLine="420" w:firstLineChars="200"/>
        <w:rPr>
          <w:rFonts w:hint="eastAsia" w:ascii="宋体" w:eastAsia="宋体" w:cs="宋体"/>
          <w:color w:val="auto"/>
          <w:sz w:val="21"/>
          <w:szCs w:val="21"/>
        </w:rPr>
      </w:pPr>
      <w:r>
        <w:rPr>
          <w:rFonts w:hint="eastAsia" w:ascii="宋体" w:eastAsia="宋体" w:cs="宋体"/>
          <w:color w:val="auto"/>
          <w:sz w:val="21"/>
          <w:szCs w:val="21"/>
        </w:rPr>
        <w:t>（三）不同投标供应商的投标文件由同一单位或者同一人编制，或者由同一人分阶段参与编制的。</w:t>
      </w:r>
    </w:p>
    <w:p w14:paraId="6A5F815F">
      <w:pPr>
        <w:spacing w:before="0" w:line="340" w:lineRule="exact"/>
        <w:ind w:firstLine="420" w:firstLineChars="200"/>
        <w:rPr>
          <w:rFonts w:hint="eastAsia" w:ascii="宋体" w:eastAsia="宋体" w:cs="宋体"/>
          <w:color w:val="auto"/>
          <w:sz w:val="21"/>
          <w:szCs w:val="21"/>
        </w:rPr>
      </w:pPr>
      <w:r>
        <w:rPr>
          <w:rFonts w:hint="eastAsia" w:ascii="宋体" w:eastAsia="宋体" w:cs="宋体"/>
          <w:color w:val="auto"/>
          <w:sz w:val="21"/>
          <w:szCs w:val="21"/>
        </w:rPr>
        <w:t>（四）不同投标供应商的投标文件或部分投标文件相互混装。</w:t>
      </w:r>
    </w:p>
    <w:p w14:paraId="41BB83A1">
      <w:pPr>
        <w:spacing w:before="0" w:line="340" w:lineRule="exact"/>
        <w:ind w:firstLine="420" w:firstLineChars="200"/>
        <w:rPr>
          <w:rFonts w:hint="eastAsia" w:ascii="宋体" w:eastAsia="宋体" w:cs="宋体"/>
          <w:color w:val="auto"/>
          <w:sz w:val="21"/>
          <w:szCs w:val="21"/>
        </w:rPr>
      </w:pPr>
      <w:r>
        <w:rPr>
          <w:rFonts w:hint="eastAsia" w:ascii="宋体" w:eastAsia="宋体" w:cs="宋体"/>
          <w:color w:val="auto"/>
          <w:sz w:val="21"/>
          <w:szCs w:val="21"/>
        </w:rPr>
        <w:t>（五）不同投标供应商的投标文件内容存在非正常一致。</w:t>
      </w:r>
    </w:p>
    <w:p w14:paraId="74DA8152">
      <w:pPr>
        <w:spacing w:before="0" w:line="340" w:lineRule="exact"/>
        <w:ind w:firstLine="420" w:firstLineChars="200"/>
        <w:rPr>
          <w:rFonts w:hint="eastAsia" w:ascii="宋体" w:eastAsia="宋体" w:cs="宋体"/>
          <w:color w:val="auto"/>
          <w:sz w:val="21"/>
          <w:szCs w:val="21"/>
        </w:rPr>
      </w:pPr>
      <w:r>
        <w:rPr>
          <w:rFonts w:hint="eastAsia" w:ascii="宋体" w:eastAsia="宋体" w:cs="宋体"/>
          <w:color w:val="auto"/>
          <w:sz w:val="21"/>
          <w:szCs w:val="21"/>
        </w:rPr>
        <w:t>（六）由同一单位工作人员为两家以上（含两家）供应商进行同一项投标活动的。</w:t>
      </w:r>
    </w:p>
    <w:p w14:paraId="4DD6AB79">
      <w:pPr>
        <w:spacing w:before="0" w:line="340" w:lineRule="exact"/>
        <w:ind w:firstLine="420" w:firstLineChars="200"/>
        <w:rPr>
          <w:rFonts w:hint="eastAsia" w:ascii="宋体" w:eastAsia="宋体" w:cs="宋体"/>
          <w:color w:val="auto"/>
          <w:sz w:val="21"/>
          <w:szCs w:val="21"/>
        </w:rPr>
      </w:pPr>
      <w:r>
        <w:rPr>
          <w:rFonts w:hint="eastAsia" w:ascii="宋体" w:eastAsia="宋体" w:cs="宋体"/>
          <w:color w:val="auto"/>
          <w:sz w:val="21"/>
          <w:szCs w:val="21"/>
        </w:rPr>
        <w:t>（七）不同投标人的投标报价呈规律性差异。</w:t>
      </w:r>
    </w:p>
    <w:p w14:paraId="64CEACA7">
      <w:pPr>
        <w:spacing w:before="0" w:line="340" w:lineRule="exact"/>
        <w:ind w:firstLine="420" w:firstLineChars="200"/>
        <w:rPr>
          <w:rFonts w:hint="eastAsia" w:ascii="宋体" w:eastAsia="宋体" w:cs="宋体"/>
          <w:color w:val="auto"/>
          <w:sz w:val="21"/>
          <w:szCs w:val="21"/>
        </w:rPr>
      </w:pPr>
      <w:r>
        <w:rPr>
          <w:rFonts w:hint="eastAsia" w:ascii="宋体" w:eastAsia="宋体" w:cs="宋体"/>
          <w:color w:val="auto"/>
          <w:sz w:val="21"/>
          <w:szCs w:val="21"/>
        </w:rPr>
        <w:t>（八）不同投标人的投标保证金从同一单位或者个人的账户转出。</w:t>
      </w:r>
    </w:p>
    <w:p w14:paraId="393539EB">
      <w:pPr>
        <w:spacing w:before="0" w:line="340" w:lineRule="exact"/>
        <w:ind w:firstLine="420" w:firstLineChars="200"/>
        <w:rPr>
          <w:rFonts w:hint="eastAsia" w:ascii="宋体" w:eastAsia="宋体" w:cs="宋体"/>
          <w:color w:val="auto"/>
          <w:sz w:val="21"/>
          <w:szCs w:val="21"/>
        </w:rPr>
      </w:pPr>
      <w:r>
        <w:rPr>
          <w:rFonts w:hint="eastAsia" w:ascii="宋体" w:eastAsia="宋体" w:cs="宋体"/>
          <w:color w:val="auto"/>
          <w:sz w:val="21"/>
          <w:szCs w:val="21"/>
        </w:rPr>
        <w:t>（九）主管部门依照法律、法规认定的其他情形。</w:t>
      </w:r>
    </w:p>
    <w:p w14:paraId="4564F20C">
      <w:pPr>
        <w:spacing w:before="0" w:line="340" w:lineRule="exact"/>
        <w:ind w:firstLine="422" w:firstLineChars="200"/>
        <w:rPr>
          <w:rFonts w:hint="eastAsia" w:ascii="宋体" w:eastAsia="宋体" w:cs="宋体"/>
          <w:b/>
          <w:color w:val="auto"/>
          <w:sz w:val="21"/>
          <w:szCs w:val="21"/>
        </w:rPr>
      </w:pPr>
      <w:r>
        <w:rPr>
          <w:rFonts w:hint="eastAsia" w:ascii="宋体" w:eastAsia="宋体" w:cs="宋体"/>
          <w:b/>
          <w:color w:val="auto"/>
          <w:sz w:val="21"/>
          <w:szCs w:val="21"/>
        </w:rPr>
        <w:t>三、</w:t>
      </w:r>
      <w:r>
        <w:rPr>
          <w:rFonts w:hint="eastAsia" w:ascii="宋体" w:eastAsia="宋体" w:cs="宋体"/>
          <w:b/>
          <w:color w:val="auto"/>
          <w:sz w:val="21"/>
          <w:szCs w:val="21"/>
          <w:lang w:eastAsia="zh-CN"/>
        </w:rPr>
        <w:t>我</w:t>
      </w:r>
      <w:r>
        <w:rPr>
          <w:rFonts w:hint="eastAsia" w:ascii="宋体" w:eastAsia="宋体" w:cs="宋体"/>
          <w:b/>
          <w:color w:val="auto"/>
          <w:sz w:val="21"/>
          <w:szCs w:val="21"/>
          <w:lang w:val="en-US" w:eastAsia="zh-CN"/>
        </w:rPr>
        <w:t>单位</w:t>
      </w:r>
      <w:r>
        <w:rPr>
          <w:rFonts w:hint="eastAsia" w:ascii="宋体" w:eastAsia="宋体" w:cs="宋体"/>
          <w:b/>
          <w:color w:val="auto"/>
          <w:sz w:val="21"/>
          <w:szCs w:val="21"/>
        </w:rPr>
        <w:t>已充分知悉下列情形</w:t>
      </w:r>
      <w:r>
        <w:rPr>
          <w:rFonts w:hint="eastAsia" w:ascii="宋体" w:eastAsia="宋体" w:cs="宋体"/>
          <w:b/>
          <w:color w:val="auto"/>
          <w:sz w:val="21"/>
          <w:szCs w:val="21"/>
          <w:lang w:eastAsia="zh-CN"/>
        </w:rPr>
        <w:t>存在</w:t>
      </w:r>
      <w:r>
        <w:rPr>
          <w:rFonts w:hint="eastAsia" w:ascii="宋体" w:eastAsia="宋体" w:cs="宋体"/>
          <w:b/>
          <w:color w:val="auto"/>
          <w:sz w:val="21"/>
          <w:szCs w:val="21"/>
        </w:rPr>
        <w:t>法律风险，在投标前已对相关风险事项进行排</w:t>
      </w:r>
      <w:r>
        <w:rPr>
          <w:rFonts w:hint="eastAsia" w:ascii="宋体" w:eastAsia="宋体" w:cs="宋体"/>
          <w:b/>
          <w:color w:val="auto"/>
          <w:sz w:val="21"/>
          <w:szCs w:val="21"/>
          <w:highlight w:val="none"/>
        </w:rPr>
        <w:t>查。</w:t>
      </w:r>
    </w:p>
    <w:p w14:paraId="312F401B">
      <w:pPr>
        <w:spacing w:before="0" w:line="340" w:lineRule="exact"/>
        <w:ind w:firstLine="420" w:firstLineChars="200"/>
        <w:rPr>
          <w:rFonts w:hint="eastAsia" w:ascii="宋体" w:eastAsia="宋体" w:cs="宋体"/>
          <w:b/>
          <w:color w:val="auto"/>
          <w:sz w:val="21"/>
          <w:szCs w:val="21"/>
        </w:rPr>
      </w:pPr>
      <w:r>
        <w:rPr>
          <w:rFonts w:hint="eastAsia" w:ascii="宋体" w:eastAsia="宋体" w:cs="宋体"/>
          <w:color w:val="auto"/>
          <w:sz w:val="21"/>
          <w:szCs w:val="21"/>
        </w:rPr>
        <w:t>（一）对于从其他主体获取的投标资料，</w:t>
      </w:r>
      <w:r>
        <w:rPr>
          <w:rFonts w:hint="eastAsia" w:ascii="宋体" w:eastAsia="宋体" w:cs="宋体"/>
          <w:color w:val="auto"/>
          <w:sz w:val="21"/>
          <w:szCs w:val="21"/>
          <w:lang w:eastAsia="zh-CN"/>
        </w:rPr>
        <w:t>我</w:t>
      </w:r>
      <w:r>
        <w:rPr>
          <w:rFonts w:hint="eastAsia" w:ascii="宋体" w:eastAsia="宋体" w:cs="宋体"/>
          <w:color w:val="auto"/>
          <w:sz w:val="21"/>
          <w:szCs w:val="21"/>
          <w:lang w:val="en-US" w:eastAsia="zh-CN"/>
        </w:rPr>
        <w:t>单位</w:t>
      </w:r>
      <w:r>
        <w:rPr>
          <w:rFonts w:hint="eastAsia" w:ascii="宋体" w:eastAsia="宋体" w:cs="宋体"/>
          <w:color w:val="auto"/>
          <w:sz w:val="21"/>
          <w:szCs w:val="21"/>
        </w:rPr>
        <w:t>应审慎核查，确保</w:t>
      </w:r>
      <w:r>
        <w:rPr>
          <w:rFonts w:hint="eastAsia" w:ascii="宋体" w:eastAsia="宋体" w:cs="宋体"/>
          <w:color w:val="auto"/>
          <w:sz w:val="21"/>
          <w:szCs w:val="21"/>
          <w:lang w:eastAsia="zh-CN"/>
        </w:rPr>
        <w:t>其</w:t>
      </w:r>
      <w:r>
        <w:rPr>
          <w:rFonts w:hint="eastAsia" w:ascii="宋体" w:eastAsia="宋体" w:cs="宋体"/>
          <w:color w:val="auto"/>
          <w:sz w:val="21"/>
          <w:szCs w:val="21"/>
        </w:rPr>
        <w:t>真实性。</w:t>
      </w:r>
      <w:r>
        <w:rPr>
          <w:rFonts w:hint="eastAsia" w:asci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8724E44">
      <w:pPr>
        <w:spacing w:before="0" w:line="340" w:lineRule="exact"/>
        <w:ind w:firstLine="420" w:firstLineChars="200"/>
        <w:rPr>
          <w:rFonts w:hint="eastAsia" w:ascii="宋体" w:eastAsia="宋体" w:cs="宋体"/>
          <w:color w:val="auto"/>
          <w:sz w:val="21"/>
          <w:szCs w:val="21"/>
        </w:rPr>
      </w:pPr>
      <w:r>
        <w:rPr>
          <w:rFonts w:hint="eastAsia" w:asci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eastAsia="宋体" w:cs="宋体"/>
          <w:color w:val="auto"/>
          <w:sz w:val="21"/>
          <w:szCs w:val="21"/>
          <w:lang w:eastAsia="zh-CN"/>
        </w:rPr>
        <w:t>处理</w:t>
      </w:r>
      <w:r>
        <w:rPr>
          <w:rFonts w:hint="eastAsia" w:ascii="宋体" w:eastAsia="宋体" w:cs="宋体"/>
          <w:color w:val="auto"/>
          <w:sz w:val="21"/>
          <w:szCs w:val="21"/>
        </w:rPr>
        <w:t>。</w:t>
      </w:r>
    </w:p>
    <w:p w14:paraId="1E211A43">
      <w:pPr>
        <w:spacing w:before="0" w:line="340" w:lineRule="exact"/>
        <w:ind w:firstLine="420" w:firstLineChars="200"/>
        <w:rPr>
          <w:rFonts w:hint="eastAsia" w:ascii="宋体" w:eastAsia="宋体" w:cs="宋体"/>
          <w:color w:val="auto"/>
          <w:sz w:val="21"/>
          <w:szCs w:val="21"/>
        </w:rPr>
      </w:pPr>
      <w:r>
        <w:rPr>
          <w:rFonts w:hint="eastAsia" w:ascii="宋体" w:eastAsia="宋体" w:cs="宋体"/>
          <w:color w:val="auto"/>
          <w:sz w:val="21"/>
          <w:szCs w:val="21"/>
        </w:rPr>
        <w:t>（</w:t>
      </w:r>
      <w:r>
        <w:rPr>
          <w:rFonts w:hint="eastAsia" w:ascii="宋体" w:eastAsia="宋体" w:cs="宋体"/>
          <w:color w:val="auto"/>
          <w:sz w:val="21"/>
          <w:szCs w:val="21"/>
          <w:lang w:eastAsia="zh-CN"/>
        </w:rPr>
        <w:t>三</w:t>
      </w:r>
      <w:r>
        <w:rPr>
          <w:rFonts w:hint="eastAsia" w:ascii="宋体" w:eastAsia="宋体" w:cs="宋体"/>
          <w:color w:val="auto"/>
          <w:sz w:val="21"/>
          <w:szCs w:val="21"/>
        </w:rPr>
        <w:t>）</w:t>
      </w:r>
      <w:r>
        <w:rPr>
          <w:rFonts w:hint="eastAsia" w:ascii="宋体" w:eastAsia="宋体" w:cs="宋体"/>
          <w:color w:val="auto"/>
          <w:sz w:val="21"/>
          <w:szCs w:val="21"/>
          <w:lang w:eastAsia="zh-CN"/>
        </w:rPr>
        <w:t>我</w:t>
      </w:r>
      <w:r>
        <w:rPr>
          <w:rFonts w:hint="eastAsia" w:ascii="宋体" w:eastAsia="宋体" w:cs="宋体"/>
          <w:color w:val="auto"/>
          <w:sz w:val="21"/>
          <w:szCs w:val="21"/>
          <w:lang w:val="en-US" w:eastAsia="zh-CN"/>
        </w:rPr>
        <w:t>单位</w:t>
      </w:r>
      <w:r>
        <w:rPr>
          <w:rFonts w:hint="eastAsia" w:ascii="宋体" w:eastAsia="宋体" w:cs="宋体"/>
          <w:color w:val="auto"/>
          <w:sz w:val="21"/>
          <w:szCs w:val="21"/>
        </w:rPr>
        <w:t>对投标电子密钥</w:t>
      </w:r>
      <w:r>
        <w:rPr>
          <w:rFonts w:hint="eastAsia" w:ascii="宋体" w:eastAsia="宋体" w:cs="宋体"/>
          <w:color w:val="auto"/>
          <w:sz w:val="21"/>
          <w:szCs w:val="21"/>
          <w:lang w:eastAsia="zh-CN"/>
        </w:rPr>
        <w:t>或</w:t>
      </w:r>
      <w:r>
        <w:rPr>
          <w:rFonts w:hint="eastAsia" w:ascii="宋体" w:eastAsia="宋体" w:cs="宋体"/>
          <w:color w:val="auto"/>
          <w:sz w:val="21"/>
          <w:szCs w:val="21"/>
          <w:lang w:val="en-US" w:eastAsia="zh-CN"/>
        </w:rPr>
        <w:t>电子营业执照</w:t>
      </w:r>
      <w:r>
        <w:rPr>
          <w:rFonts w:hint="eastAsia" w:ascii="宋体" w:eastAsia="宋体" w:cs="宋体"/>
          <w:color w:val="auto"/>
          <w:sz w:val="21"/>
          <w:szCs w:val="21"/>
        </w:rPr>
        <w:t>负有妥善保管、及时变更和续期等主体责任</w:t>
      </w:r>
      <w:r>
        <w:rPr>
          <w:rFonts w:hint="eastAsia" w:ascii="宋体" w:eastAsia="宋体" w:cs="宋体"/>
          <w:color w:val="auto"/>
          <w:sz w:val="21"/>
          <w:szCs w:val="21"/>
          <w:lang w:eastAsia="zh-CN"/>
        </w:rPr>
        <w:t>；</w:t>
      </w:r>
      <w:r>
        <w:rPr>
          <w:rFonts w:hint="eastAsia" w:ascii="宋体" w:eastAsia="宋体" w:cs="宋体"/>
          <w:color w:val="auto"/>
          <w:sz w:val="21"/>
          <w:szCs w:val="21"/>
        </w:rPr>
        <w:t>使用电子密钥</w:t>
      </w:r>
      <w:r>
        <w:rPr>
          <w:rFonts w:hint="eastAsia" w:ascii="宋体" w:eastAsia="宋体" w:cs="宋体"/>
          <w:color w:val="auto"/>
          <w:sz w:val="21"/>
          <w:szCs w:val="21"/>
          <w:lang w:eastAsia="zh-CN"/>
        </w:rPr>
        <w:t>或</w:t>
      </w:r>
      <w:r>
        <w:rPr>
          <w:rFonts w:hint="eastAsia" w:ascii="宋体" w:eastAsia="宋体" w:cs="宋体"/>
          <w:color w:val="auto"/>
          <w:sz w:val="21"/>
          <w:szCs w:val="21"/>
          <w:lang w:val="en-US" w:eastAsia="zh-CN"/>
        </w:rPr>
        <w:t>电子营业执照</w:t>
      </w:r>
      <w:r>
        <w:rPr>
          <w:rFonts w:hint="eastAsia" w:ascii="宋体" w:eastAsia="宋体" w:cs="宋体"/>
          <w:color w:val="auto"/>
          <w:sz w:val="21"/>
          <w:szCs w:val="21"/>
        </w:rPr>
        <w:t>在深圳政府采购网站进行的活动，均具有法律效力，须承担相应的法律后果。</w:t>
      </w:r>
      <w:r>
        <w:rPr>
          <w:rFonts w:hint="eastAsia" w:ascii="宋体" w:eastAsia="宋体" w:cs="宋体"/>
          <w:color w:val="auto"/>
          <w:sz w:val="21"/>
          <w:szCs w:val="21"/>
          <w:lang w:eastAsia="zh-CN"/>
        </w:rPr>
        <w:t>若</w:t>
      </w:r>
      <w:r>
        <w:rPr>
          <w:rFonts w:hint="eastAsia" w:ascii="宋体" w:eastAsia="宋体" w:cs="宋体"/>
          <w:b/>
          <w:bCs/>
          <w:color w:val="auto"/>
          <w:sz w:val="21"/>
          <w:szCs w:val="21"/>
        </w:rPr>
        <w:t>擅自将投标密钥</w:t>
      </w:r>
      <w:r>
        <w:rPr>
          <w:rFonts w:hint="eastAsia" w:ascii="宋体" w:eastAsia="宋体" w:cs="宋体"/>
          <w:b/>
          <w:bCs/>
          <w:color w:val="auto"/>
          <w:sz w:val="21"/>
          <w:szCs w:val="21"/>
          <w:lang w:eastAsia="zh-CN"/>
        </w:rPr>
        <w:t>或</w:t>
      </w:r>
      <w:r>
        <w:rPr>
          <w:rFonts w:hint="eastAsia" w:ascii="宋体" w:eastAsia="宋体" w:cs="宋体"/>
          <w:b/>
          <w:bCs/>
          <w:color w:val="auto"/>
          <w:sz w:val="21"/>
          <w:szCs w:val="21"/>
          <w:lang w:val="en-US" w:eastAsia="zh-CN"/>
        </w:rPr>
        <w:t>电子营业执照</w:t>
      </w:r>
      <w:r>
        <w:rPr>
          <w:rFonts w:hint="eastAsia" w:ascii="宋体" w:eastAsia="宋体" w:cs="宋体"/>
          <w:b/>
          <w:bCs/>
          <w:color w:val="auto"/>
          <w:sz w:val="21"/>
          <w:szCs w:val="21"/>
        </w:rPr>
        <w:t>出借他人使用所造成的法律后果，由</w:t>
      </w:r>
      <w:r>
        <w:rPr>
          <w:rFonts w:hint="eastAsia" w:ascii="宋体" w:eastAsia="宋体" w:cs="宋体"/>
          <w:b/>
          <w:bCs/>
          <w:color w:val="auto"/>
          <w:sz w:val="21"/>
          <w:szCs w:val="21"/>
          <w:lang w:eastAsia="zh-CN"/>
        </w:rPr>
        <w:t>我</w:t>
      </w:r>
      <w:r>
        <w:rPr>
          <w:rFonts w:hint="eastAsia" w:ascii="宋体" w:eastAsia="宋体" w:cs="宋体"/>
          <w:b/>
          <w:bCs/>
          <w:color w:val="auto"/>
          <w:sz w:val="21"/>
          <w:szCs w:val="21"/>
          <w:lang w:val="en-US" w:eastAsia="zh-CN"/>
        </w:rPr>
        <w:t>单位</w:t>
      </w:r>
      <w:r>
        <w:rPr>
          <w:rFonts w:hint="eastAsia" w:ascii="宋体" w:eastAsia="宋体" w:cs="宋体"/>
          <w:b/>
          <w:bCs/>
          <w:color w:val="auto"/>
          <w:sz w:val="21"/>
          <w:szCs w:val="21"/>
        </w:rPr>
        <w:t>自行承担</w:t>
      </w:r>
      <w:r>
        <w:rPr>
          <w:rFonts w:hint="eastAsia" w:ascii="宋体" w:eastAsia="宋体" w:cs="宋体"/>
          <w:color w:val="auto"/>
          <w:sz w:val="21"/>
          <w:szCs w:val="21"/>
        </w:rPr>
        <w:t>。</w:t>
      </w:r>
    </w:p>
    <w:p w14:paraId="299F32E8">
      <w:pPr>
        <w:spacing w:before="0" w:line="340" w:lineRule="exact"/>
        <w:ind w:firstLine="422" w:firstLineChars="200"/>
        <w:rPr>
          <w:rFonts w:hint="eastAsia" w:ascii="宋体" w:eastAsia="宋体" w:cs="宋体"/>
          <w:b/>
          <w:color w:val="auto"/>
          <w:sz w:val="21"/>
          <w:szCs w:val="21"/>
        </w:rPr>
      </w:pPr>
      <w:r>
        <w:rPr>
          <w:rFonts w:hint="eastAsia" w:ascii="宋体" w:eastAsia="宋体" w:cs="宋体"/>
          <w:b/>
          <w:color w:val="auto"/>
          <w:sz w:val="21"/>
          <w:szCs w:val="21"/>
        </w:rPr>
        <w:t>四、</w:t>
      </w:r>
      <w:r>
        <w:rPr>
          <w:rFonts w:hint="eastAsia" w:ascii="宋体" w:eastAsia="宋体" w:cs="宋体"/>
          <w:b/>
          <w:color w:val="auto"/>
          <w:sz w:val="21"/>
          <w:szCs w:val="21"/>
          <w:lang w:eastAsia="zh-CN"/>
        </w:rPr>
        <w:t>我</w:t>
      </w:r>
      <w:r>
        <w:rPr>
          <w:rFonts w:hint="eastAsia" w:ascii="宋体" w:eastAsia="宋体" w:cs="宋体"/>
          <w:b/>
          <w:color w:val="auto"/>
          <w:sz w:val="21"/>
          <w:szCs w:val="21"/>
          <w:lang w:val="en-US" w:eastAsia="zh-CN"/>
        </w:rPr>
        <w:t>单位</w:t>
      </w:r>
      <w:r>
        <w:rPr>
          <w:rFonts w:hint="eastAsia" w:ascii="宋体" w:eastAsia="宋体" w:cs="宋体"/>
          <w:b/>
          <w:color w:val="auto"/>
          <w:sz w:val="21"/>
          <w:szCs w:val="21"/>
        </w:rPr>
        <w:t>已充分知悉政府采购违法、违规行为的法律</w:t>
      </w:r>
      <w:r>
        <w:rPr>
          <w:rFonts w:hint="eastAsia" w:ascii="宋体" w:eastAsia="宋体" w:cs="宋体"/>
          <w:b/>
          <w:color w:val="auto"/>
          <w:sz w:val="21"/>
          <w:szCs w:val="21"/>
          <w:highlight w:val="none"/>
        </w:rPr>
        <w:t>后果。</w:t>
      </w:r>
    </w:p>
    <w:p w14:paraId="12016F18">
      <w:pPr>
        <w:spacing w:before="0" w:line="340" w:lineRule="exact"/>
        <w:ind w:firstLine="420" w:firstLineChars="200"/>
        <w:rPr>
          <w:rFonts w:hint="eastAsia" w:ascii="宋体" w:eastAsia="宋体" w:cs="宋体"/>
          <w:color w:val="auto"/>
          <w:sz w:val="21"/>
          <w:szCs w:val="21"/>
          <w:highlight w:val="none"/>
        </w:rPr>
      </w:pPr>
      <w:r>
        <w:rPr>
          <w:rFonts w:hint="eastAsia" w:ascii="宋体" w:eastAsia="宋体" w:cs="宋体"/>
          <w:color w:val="auto"/>
          <w:sz w:val="21"/>
          <w:szCs w:val="21"/>
        </w:rPr>
        <w:t>经查实，若</w:t>
      </w:r>
      <w:r>
        <w:rPr>
          <w:rFonts w:hint="eastAsia" w:ascii="宋体" w:eastAsia="宋体" w:cs="宋体"/>
          <w:color w:val="auto"/>
          <w:sz w:val="21"/>
          <w:szCs w:val="21"/>
          <w:lang w:eastAsia="zh-CN"/>
        </w:rPr>
        <w:t>我</w:t>
      </w:r>
      <w:r>
        <w:rPr>
          <w:rFonts w:hint="eastAsia" w:ascii="宋体" w:eastAsia="宋体" w:cs="宋体"/>
          <w:color w:val="auto"/>
          <w:sz w:val="21"/>
          <w:szCs w:val="21"/>
          <w:lang w:val="en-US" w:eastAsia="zh-CN"/>
        </w:rPr>
        <w:t>单位</w:t>
      </w:r>
      <w:r>
        <w:rPr>
          <w:rFonts w:hint="eastAsia" w:asci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eastAsia="宋体" w:cs="宋体"/>
          <w:color w:val="auto"/>
          <w:sz w:val="21"/>
          <w:szCs w:val="21"/>
          <w:highlight w:val="none"/>
        </w:rPr>
        <w:t>分之二十以上千分之三十以下罚款，由市场监管部门依法吊销营业执照。</w:t>
      </w:r>
    </w:p>
    <w:p w14:paraId="68769B86">
      <w:pPr>
        <w:spacing w:before="0" w:line="340" w:lineRule="exact"/>
        <w:ind w:firstLine="420" w:firstLineChars="200"/>
        <w:rPr>
          <w:rFonts w:hint="eastAsia" w:ascii="宋体" w:eastAsia="宋体" w:cs="宋体"/>
          <w:color w:val="auto"/>
          <w:sz w:val="21"/>
          <w:szCs w:val="21"/>
          <w:highlight w:val="none"/>
        </w:rPr>
      </w:pPr>
      <w:r>
        <w:rPr>
          <w:rFonts w:hint="eastAsia" w:ascii="宋体" w:eastAsia="宋体" w:cs="宋体"/>
          <w:color w:val="auto"/>
          <w:sz w:val="21"/>
          <w:szCs w:val="21"/>
          <w:highlight w:val="none"/>
        </w:rPr>
        <w:t>以下文字请投标供应商抄写并确认：“</w:t>
      </w:r>
      <w:r>
        <w:rPr>
          <w:rFonts w:hint="eastAsia" w:ascii="宋体" w:eastAsia="宋体" w:cs="宋体"/>
          <w:color w:val="auto"/>
          <w:sz w:val="21"/>
          <w:szCs w:val="21"/>
          <w:highlight w:val="none"/>
          <w:lang w:eastAsia="zh-CN"/>
        </w:rPr>
        <w:t>我</w:t>
      </w:r>
      <w:r>
        <w:rPr>
          <w:rFonts w:hint="eastAsia" w:ascii="宋体" w:eastAsia="宋体" w:cs="宋体"/>
          <w:color w:val="auto"/>
          <w:sz w:val="21"/>
          <w:szCs w:val="21"/>
          <w:lang w:val="en-US" w:eastAsia="zh-CN"/>
        </w:rPr>
        <w:t>单位</w:t>
      </w:r>
      <w:r>
        <w:rPr>
          <w:rFonts w:hint="eastAsia" w:asci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42"/>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65B9A7B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tcPr>
          <w:p w14:paraId="2A74EC8B">
            <w:pPr>
              <w:autoSpaceDE w:val="0"/>
              <w:autoSpaceDN w:val="0"/>
              <w:spacing w:before="0" w:line="340" w:lineRule="exact"/>
              <w:ind w:firstLine="1866"/>
              <w:rPr>
                <w:rFonts w:hint="eastAsia" w:ascii="宋体" w:eastAsia="宋体" w:cs="宋体"/>
                <w:color w:val="auto"/>
                <w:spacing w:val="-4"/>
                <w:kern w:val="0"/>
                <w:sz w:val="21"/>
                <w:szCs w:val="21"/>
                <w:highlight w:val="none"/>
              </w:rPr>
            </w:pPr>
          </w:p>
        </w:tc>
      </w:tr>
      <w:tr w14:paraId="38791E2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tcPr>
          <w:p w14:paraId="0C2BE3E8">
            <w:pPr>
              <w:autoSpaceDE w:val="0"/>
              <w:autoSpaceDN w:val="0"/>
              <w:spacing w:before="0" w:line="340" w:lineRule="exact"/>
              <w:ind w:firstLine="1866"/>
              <w:rPr>
                <w:rFonts w:hint="eastAsia" w:ascii="宋体" w:eastAsia="宋体" w:cs="宋体"/>
                <w:color w:val="auto"/>
                <w:spacing w:val="-4"/>
                <w:kern w:val="0"/>
                <w:sz w:val="21"/>
                <w:szCs w:val="21"/>
              </w:rPr>
            </w:pPr>
          </w:p>
        </w:tc>
      </w:tr>
      <w:tr w14:paraId="118A079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tcPr>
          <w:p w14:paraId="6E05FEC6">
            <w:pPr>
              <w:autoSpaceDE w:val="0"/>
              <w:autoSpaceDN w:val="0"/>
              <w:spacing w:before="0" w:line="340" w:lineRule="exact"/>
              <w:ind w:firstLine="1866"/>
              <w:rPr>
                <w:rFonts w:hint="eastAsia" w:ascii="宋体" w:eastAsia="宋体" w:cs="宋体"/>
                <w:color w:val="auto"/>
                <w:spacing w:val="-4"/>
                <w:kern w:val="0"/>
                <w:sz w:val="21"/>
                <w:szCs w:val="21"/>
              </w:rPr>
            </w:pPr>
          </w:p>
        </w:tc>
      </w:tr>
      <w:tr w14:paraId="12DEC30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tcPr>
          <w:p w14:paraId="0DD6703B">
            <w:pPr>
              <w:autoSpaceDE w:val="0"/>
              <w:autoSpaceDN w:val="0"/>
              <w:spacing w:before="0" w:line="340" w:lineRule="exact"/>
              <w:ind w:firstLine="1866"/>
              <w:rPr>
                <w:rFonts w:hint="eastAsia" w:ascii="宋体" w:eastAsia="宋体" w:cs="宋体"/>
                <w:color w:val="auto"/>
                <w:spacing w:val="-4"/>
                <w:kern w:val="0"/>
                <w:sz w:val="21"/>
                <w:szCs w:val="21"/>
              </w:rPr>
            </w:pPr>
          </w:p>
        </w:tc>
      </w:tr>
    </w:tbl>
    <w:p w14:paraId="51E1899F">
      <w:pPr>
        <w:widowControl/>
        <w:wordWrap w:val="0"/>
        <w:autoSpaceDE w:val="0"/>
        <w:autoSpaceDN w:val="0"/>
        <w:spacing w:before="0" w:line="340" w:lineRule="exact"/>
        <w:ind w:right="808" w:firstLine="404" w:firstLineChars="200"/>
        <w:jc w:val="right"/>
        <w:rPr>
          <w:rFonts w:hint="eastAsia" w:ascii="宋体" w:eastAsia="宋体" w:cs="宋体"/>
          <w:color w:val="auto"/>
          <w:spacing w:val="-4"/>
          <w:kern w:val="0"/>
          <w:sz w:val="21"/>
          <w:szCs w:val="21"/>
        </w:rPr>
      </w:pPr>
    </w:p>
    <w:p w14:paraId="775C927B">
      <w:pPr>
        <w:widowControl/>
        <w:wordWrap w:val="0"/>
        <w:autoSpaceDE w:val="0"/>
        <w:autoSpaceDN w:val="0"/>
        <w:spacing w:before="0" w:line="340" w:lineRule="exact"/>
        <w:ind w:right="808" w:firstLine="404" w:firstLineChars="200"/>
        <w:jc w:val="right"/>
        <w:rPr>
          <w:rFonts w:hint="eastAsia" w:ascii="宋体" w:eastAsia="宋体" w:cs="宋体"/>
          <w:color w:val="auto"/>
          <w:spacing w:val="-4"/>
          <w:kern w:val="0"/>
          <w:sz w:val="21"/>
          <w:szCs w:val="21"/>
          <w:u w:val="single"/>
        </w:rPr>
      </w:pPr>
      <w:r>
        <w:rPr>
          <w:rFonts w:hint="eastAsia" w:ascii="宋体" w:eastAsia="宋体" w:cs="宋体"/>
          <w:color w:val="auto"/>
          <w:spacing w:val="-4"/>
          <w:kern w:val="0"/>
          <w:sz w:val="21"/>
          <w:szCs w:val="21"/>
          <w:lang w:eastAsia="zh-CN"/>
        </w:rPr>
        <w:t>单位</w:t>
      </w:r>
      <w:r>
        <w:rPr>
          <w:rFonts w:hint="eastAsia" w:ascii="宋体" w:eastAsia="宋体" w:cs="宋体"/>
          <w:color w:val="auto"/>
          <w:spacing w:val="-4"/>
          <w:kern w:val="0"/>
          <w:sz w:val="21"/>
          <w:szCs w:val="21"/>
        </w:rPr>
        <w:t>负责人签名：</w:t>
      </w:r>
      <w:r>
        <w:rPr>
          <w:rFonts w:hint="eastAsia" w:ascii="宋体" w:eastAsia="宋体" w:cs="宋体"/>
          <w:color w:val="auto"/>
          <w:spacing w:val="-4"/>
          <w:kern w:val="0"/>
          <w:sz w:val="21"/>
          <w:szCs w:val="21"/>
          <w:u w:val="single"/>
        </w:rPr>
        <w:t xml:space="preserve">              </w:t>
      </w:r>
    </w:p>
    <w:p w14:paraId="42A83F1F">
      <w:pPr>
        <w:widowControl/>
        <w:wordWrap w:val="0"/>
        <w:autoSpaceDE w:val="0"/>
        <w:autoSpaceDN w:val="0"/>
        <w:spacing w:before="0" w:line="340" w:lineRule="exact"/>
        <w:ind w:right="808" w:firstLine="404" w:firstLineChars="200"/>
        <w:jc w:val="center"/>
        <w:rPr>
          <w:rFonts w:hint="eastAsia" w:ascii="宋体" w:eastAsia="宋体" w:cs="宋体"/>
          <w:color w:val="auto"/>
          <w:spacing w:val="-4"/>
          <w:kern w:val="0"/>
          <w:sz w:val="21"/>
          <w:szCs w:val="21"/>
          <w:u w:val="single"/>
        </w:rPr>
      </w:pPr>
      <w:r>
        <w:rPr>
          <w:rFonts w:hint="eastAsia" w:ascii="宋体" w:eastAsia="宋体" w:cs="宋体"/>
          <w:color w:val="auto"/>
          <w:spacing w:val="-4"/>
          <w:kern w:val="0"/>
          <w:sz w:val="21"/>
          <w:szCs w:val="21"/>
          <w:lang w:val="en-US" w:eastAsia="zh-CN"/>
        </w:rPr>
        <w:t xml:space="preserve">                                  </w:t>
      </w:r>
      <w:r>
        <w:rPr>
          <w:rFonts w:hint="eastAsia" w:ascii="宋体" w:eastAsia="宋体" w:cs="宋体"/>
          <w:color w:val="auto"/>
          <w:spacing w:val="-4"/>
          <w:kern w:val="0"/>
          <w:sz w:val="21"/>
          <w:szCs w:val="21"/>
          <w:lang w:eastAsia="zh-CN"/>
        </w:rPr>
        <w:t>（加盖单位</w:t>
      </w:r>
      <w:r>
        <w:rPr>
          <w:rFonts w:hint="eastAsia" w:ascii="宋体" w:eastAsia="宋体" w:cs="宋体"/>
          <w:color w:val="auto"/>
          <w:spacing w:val="-4"/>
          <w:kern w:val="0"/>
          <w:sz w:val="21"/>
          <w:szCs w:val="21"/>
        </w:rPr>
        <w:t>公章</w:t>
      </w:r>
      <w:r>
        <w:rPr>
          <w:rFonts w:hint="eastAsia" w:ascii="宋体" w:eastAsia="宋体" w:cs="宋体"/>
          <w:color w:val="auto"/>
          <w:spacing w:val="-4"/>
          <w:kern w:val="0"/>
          <w:sz w:val="21"/>
          <w:szCs w:val="21"/>
          <w:lang w:eastAsia="zh-CN"/>
        </w:rPr>
        <w:t>）</w:t>
      </w:r>
    </w:p>
    <w:p w14:paraId="1EB10969">
      <w:pPr>
        <w:widowControl/>
        <w:wordWrap w:val="0"/>
        <w:autoSpaceDE w:val="0"/>
        <w:autoSpaceDN w:val="0"/>
        <w:spacing w:before="0" w:line="340" w:lineRule="exact"/>
        <w:ind w:right="808" w:firstLine="404" w:firstLineChars="200"/>
        <w:jc w:val="right"/>
        <w:rPr>
          <w:rFonts w:hint="eastAsia" w:ascii="宋体" w:eastAsia="宋体" w:cs="宋体"/>
          <w:color w:val="auto"/>
          <w:spacing w:val="-4"/>
          <w:kern w:val="0"/>
          <w:sz w:val="21"/>
          <w:szCs w:val="21"/>
          <w:u w:val="single"/>
        </w:rPr>
      </w:pPr>
      <w:r>
        <w:rPr>
          <w:rFonts w:hint="eastAsia" w:ascii="宋体" w:eastAsia="宋体" w:cs="宋体"/>
          <w:color w:val="auto"/>
          <w:spacing w:val="-4"/>
          <w:kern w:val="0"/>
          <w:sz w:val="21"/>
          <w:szCs w:val="21"/>
        </w:rPr>
        <w:t xml:space="preserve">     日期：</w:t>
      </w:r>
      <w:r>
        <w:rPr>
          <w:rFonts w:hint="eastAsia" w:ascii="宋体" w:eastAsia="宋体" w:cs="宋体"/>
          <w:color w:val="auto"/>
          <w:spacing w:val="-4"/>
          <w:kern w:val="0"/>
          <w:sz w:val="21"/>
          <w:szCs w:val="21"/>
          <w:u w:val="single"/>
        </w:rPr>
        <w:t xml:space="preserve">              </w:t>
      </w:r>
    </w:p>
    <w:p w14:paraId="0BF6177E">
      <w:pPr>
        <w:widowControl/>
        <w:autoSpaceDE w:val="0"/>
        <w:autoSpaceDN w:val="0"/>
        <w:spacing w:before="0" w:line="340" w:lineRule="exact"/>
        <w:ind w:firstLine="406" w:firstLineChars="200"/>
        <w:jc w:val="left"/>
        <w:rPr>
          <w:rFonts w:hint="eastAsia" w:ascii="宋体" w:eastAsia="宋体" w:cs="宋体"/>
          <w:b/>
          <w:bCs/>
          <w:color w:val="auto"/>
          <w:spacing w:val="-4"/>
          <w:kern w:val="0"/>
          <w:sz w:val="21"/>
          <w:szCs w:val="21"/>
        </w:rPr>
      </w:pPr>
    </w:p>
    <w:p w14:paraId="1E971FEF">
      <w:pPr>
        <w:keepNext w:val="0"/>
        <w:keepLines w:val="0"/>
        <w:pageBreakBefore w:val="0"/>
        <w:widowControl/>
        <w:suppressLineNumbers w:val="0"/>
        <w:kinsoku/>
        <w:wordWrap/>
        <w:overflowPunct/>
        <w:topLinePunct w:val="0"/>
        <w:autoSpaceDE w:val="0"/>
        <w:autoSpaceDN w:val="0"/>
        <w:bidi w:val="0"/>
        <w:adjustRightInd/>
        <w:snapToGrid/>
        <w:spacing w:before="0" w:line="340" w:lineRule="exact"/>
        <w:ind w:firstLine="406" w:firstLineChars="200"/>
        <w:jc w:val="left"/>
        <w:textAlignment w:val="auto"/>
        <w:rPr>
          <w:rFonts w:hint="eastAsia" w:ascii="宋体" w:eastAsia="宋体" w:cs="宋体"/>
          <w:color w:val="auto"/>
          <w:kern w:val="0"/>
          <w:sz w:val="21"/>
          <w:szCs w:val="21"/>
          <w:lang w:val="en-US" w:eastAsia="zh-CN"/>
        </w:rPr>
      </w:pPr>
      <w:r>
        <w:rPr>
          <w:rFonts w:hint="eastAsia" w:ascii="宋体" w:eastAsia="宋体" w:cs="宋体"/>
          <w:b/>
          <w:bCs/>
          <w:color w:val="auto"/>
          <w:spacing w:val="-4"/>
          <w:kern w:val="0"/>
          <w:sz w:val="21"/>
          <w:szCs w:val="21"/>
        </w:rPr>
        <w:t>注：</w:t>
      </w:r>
      <w:r>
        <w:rPr>
          <w:rFonts w:hint="eastAsia" w:ascii="宋体" w:eastAsia="宋体" w:cs="宋体"/>
          <w:b/>
          <w:bCs/>
          <w:color w:val="auto"/>
          <w:spacing w:val="-4"/>
          <w:kern w:val="0"/>
          <w:sz w:val="21"/>
          <w:szCs w:val="21"/>
          <w:lang w:eastAsia="zh-CN"/>
        </w:rPr>
        <w:t>《</w:t>
      </w:r>
      <w:r>
        <w:rPr>
          <w:rFonts w:hint="eastAsia" w:ascii="宋体" w:eastAsia="宋体" w:cs="宋体"/>
          <w:b/>
          <w:bCs/>
          <w:color w:val="auto"/>
          <w:spacing w:val="-4"/>
          <w:kern w:val="0"/>
          <w:sz w:val="21"/>
          <w:szCs w:val="21"/>
          <w:lang w:val="en-US" w:eastAsia="zh-CN"/>
        </w:rPr>
        <w:t>政府采购违法行为风险知悉确认书</w:t>
      </w:r>
      <w:r>
        <w:rPr>
          <w:rFonts w:hint="eastAsia" w:ascii="宋体" w:eastAsia="宋体" w:cs="宋体"/>
          <w:b/>
          <w:bCs/>
          <w:color w:val="auto"/>
          <w:spacing w:val="-4"/>
          <w:kern w:val="0"/>
          <w:sz w:val="21"/>
          <w:szCs w:val="21"/>
          <w:lang w:eastAsia="zh-CN"/>
        </w:rPr>
        <w:t>》需由</w:t>
      </w:r>
      <w:r>
        <w:rPr>
          <w:rFonts w:hint="eastAsia" w:ascii="宋体" w:eastAsia="宋体" w:cs="宋体"/>
          <w:b/>
          <w:bCs/>
          <w:color w:val="auto"/>
          <w:spacing w:val="-4"/>
          <w:kern w:val="0"/>
          <w:sz w:val="21"/>
          <w:szCs w:val="21"/>
          <w:highlight w:val="none"/>
        </w:rPr>
        <w:t>投标供应商负责人签字并加盖单位公章后，扫描上传至投标文件一并提交。</w:t>
      </w:r>
    </w:p>
    <w:p w14:paraId="232B832D">
      <w:pPr>
        <w:spacing w:line="360" w:lineRule="auto"/>
        <w:ind w:firstLine="422" w:firstLineChars="200"/>
        <w:rPr>
          <w:rFonts w:ascii="宋体"/>
          <w:b/>
          <w:bCs/>
          <w:szCs w:val="21"/>
        </w:rPr>
      </w:pPr>
    </w:p>
    <w:p w14:paraId="64B6FAD1">
      <w:pPr>
        <w:rPr>
          <w:rFonts w:ascii="宋体"/>
          <w:szCs w:val="21"/>
        </w:rPr>
      </w:pPr>
      <w:r>
        <w:rPr>
          <w:rFonts w:hint="eastAsia"/>
          <w:szCs w:val="21"/>
          <w:u w:val="single"/>
        </w:rPr>
        <w:t>（备注：如联合体投标，仅需加盖牵头人的公章）</w:t>
      </w:r>
    </w:p>
    <w:p w14:paraId="1B2D11BE">
      <w:pPr>
        <w:rPr>
          <w:rFonts w:hint="eastAsia" w:ascii="黑体" w:eastAsia="黑体" w:cs="Times New Roman"/>
          <w:bCs/>
          <w:kern w:val="0"/>
          <w:sz w:val="24"/>
          <w:szCs w:val="32"/>
          <w:lang w:eastAsia="zh-CN"/>
        </w:rPr>
      </w:pPr>
      <w:r>
        <w:rPr>
          <w:rFonts w:hint="eastAsia" w:ascii="黑体" w:eastAsia="黑体" w:cs="Times New Roman"/>
          <w:bCs/>
          <w:kern w:val="0"/>
          <w:sz w:val="24"/>
          <w:szCs w:val="32"/>
          <w:lang w:eastAsia="zh-CN"/>
        </w:rPr>
        <w:br w:type="page"/>
      </w:r>
    </w:p>
    <w:p w14:paraId="11C1C22C">
      <w:pPr>
        <w:rPr>
          <w:rFonts w:hint="eastAsia" w:ascii="仿宋" w:eastAsia="仿宋"/>
          <w:lang w:eastAsia="zh-CN"/>
        </w:rPr>
      </w:pPr>
    </w:p>
    <w:p w14:paraId="161AFA63">
      <w:pPr>
        <w:keepNext/>
        <w:keepLines/>
        <w:widowControl w:val="0"/>
        <w:spacing w:before="260" w:after="260"/>
        <w:jc w:val="center"/>
        <w:outlineLvl w:val="2"/>
        <w:rPr>
          <w:rFonts w:ascii="黑体" w:eastAsia="黑体"/>
          <w:bCs/>
          <w:kern w:val="0"/>
          <w:sz w:val="24"/>
          <w:szCs w:val="32"/>
        </w:rPr>
      </w:pPr>
      <w:r>
        <w:rPr>
          <w:rFonts w:hint="eastAsia" w:ascii="黑体" w:eastAsia="黑体"/>
          <w:bCs/>
          <w:kern w:val="0"/>
          <w:sz w:val="24"/>
          <w:szCs w:val="32"/>
          <w:lang w:val="en-US" w:eastAsia="zh-CN"/>
        </w:rPr>
        <w:t>八</w:t>
      </w:r>
      <w:r>
        <w:rPr>
          <w:rFonts w:hint="eastAsia" w:ascii="黑体" w:eastAsia="黑体"/>
          <w:bCs/>
          <w:kern w:val="0"/>
          <w:sz w:val="24"/>
          <w:szCs w:val="32"/>
        </w:rPr>
        <w:t>、法定代表人（负责人）资格证明书</w:t>
      </w:r>
    </w:p>
    <w:p w14:paraId="41D390AA">
      <w:pPr>
        <w:rPr>
          <w:rFonts w:ascii="Times New Roman" w:hAnsi="Times New Roman"/>
          <w:sz w:val="24"/>
          <w:szCs w:val="24"/>
        </w:rPr>
      </w:pPr>
    </w:p>
    <w:p w14:paraId="7FD87390">
      <w:pPr>
        <w:spacing w:line="360" w:lineRule="auto"/>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w:t>
      </w:r>
      <w:r>
        <w:rPr>
          <w:rFonts w:hint="eastAsia" w:ascii="Times New Roman" w:hAnsi="Times New Roman"/>
          <w:szCs w:val="21"/>
        </w:rPr>
        <w:t>同志，现任我单位</w:t>
      </w:r>
      <w:r>
        <w:rPr>
          <w:rFonts w:hint="eastAsia" w:ascii="Times New Roman" w:hAnsi="Times New Roman"/>
          <w:szCs w:val="21"/>
          <w:u w:val="single"/>
        </w:rPr>
        <w:t xml:space="preserve">         </w:t>
      </w:r>
      <w:r>
        <w:rPr>
          <w:rFonts w:hint="eastAsia" w:ascii="Times New Roman" w:hAnsi="Times New Roman"/>
          <w:szCs w:val="21"/>
        </w:rPr>
        <w:t>职务，为法定代表人</w:t>
      </w:r>
      <w:r>
        <w:rPr>
          <w:rFonts w:hint="eastAsia" w:ascii="黑体" w:eastAsia="黑体"/>
          <w:b/>
          <w:kern w:val="0"/>
          <w:sz w:val="24"/>
          <w:szCs w:val="24"/>
        </w:rPr>
        <w:t>（负责人）</w:t>
      </w:r>
      <w:r>
        <w:rPr>
          <w:rFonts w:hint="eastAsia" w:ascii="Times New Roman" w:hAnsi="Times New Roman"/>
          <w:szCs w:val="21"/>
        </w:rPr>
        <w:t>，特此证明。</w:t>
      </w:r>
    </w:p>
    <w:p w14:paraId="020D9181">
      <w:pPr>
        <w:spacing w:line="360" w:lineRule="auto"/>
        <w:rPr>
          <w:rFonts w:ascii="Times New Roman" w:hAnsi="Times New Roman"/>
          <w:szCs w:val="21"/>
        </w:rPr>
      </w:pPr>
      <w:r>
        <w:rPr>
          <w:rFonts w:hint="eastAsia" w:ascii="Times New Roman" w:hAnsi="Times New Roman"/>
          <w:szCs w:val="21"/>
        </w:rPr>
        <w:t>说明：1、法定代表人为企业事业单位、国家机关、社会团体的主要负责人。</w:t>
      </w:r>
    </w:p>
    <w:p w14:paraId="1C62B417">
      <w:pPr>
        <w:rPr>
          <w:rFonts w:ascii="Times New Roman" w:hAnsi="Times New Roman"/>
          <w:szCs w:val="21"/>
        </w:rPr>
      </w:pPr>
      <w:r>
        <w:rPr>
          <w:rFonts w:hint="eastAsia" w:ascii="Times New Roman" w:hAnsi="Times New Roman"/>
          <w:szCs w:val="21"/>
        </w:rPr>
        <w:t xml:space="preserve">      2、内容必须填写真实、清楚，涂改无效，不得转让、买卖。</w:t>
      </w:r>
    </w:p>
    <w:p w14:paraId="00042EAC">
      <w:pPr>
        <w:spacing w:line="360" w:lineRule="auto"/>
        <w:rPr>
          <w:rFonts w:ascii="Times New Roman" w:hAnsi="Times New Roman"/>
          <w:b/>
          <w:szCs w:val="21"/>
        </w:rPr>
      </w:pPr>
    </w:p>
    <w:p w14:paraId="69E47D65">
      <w:pPr>
        <w:spacing w:line="360" w:lineRule="auto"/>
        <w:rPr>
          <w:rFonts w:ascii="Times New Roman" w:hAnsi="Times New Roman"/>
          <w:b/>
          <w:sz w:val="24"/>
          <w:szCs w:val="24"/>
        </w:rPr>
      </w:pPr>
      <w:r>
        <w:rPr>
          <w:rFonts w:hint="eastAsia" w:ascii="Times New Roman" w:hAnsi="Times New Roman"/>
          <w:b/>
          <w:sz w:val="24"/>
          <w:szCs w:val="24"/>
        </w:rPr>
        <w:t>附：要求必须提供法定代表人（负责人）身份证扫描件（正反两面）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6B73DC23">
      <w:pPr>
        <w:spacing w:line="360" w:lineRule="auto"/>
        <w:rPr>
          <w:rFonts w:ascii="Times New Roman" w:hAnsi="Times New Roman"/>
          <w:b/>
          <w:sz w:val="24"/>
          <w:szCs w:val="24"/>
        </w:rPr>
      </w:pPr>
    </w:p>
    <w:p w14:paraId="0F78CFC1">
      <w:pPr>
        <w:rPr>
          <w:rFonts w:ascii="宋体"/>
          <w:szCs w:val="21"/>
        </w:rPr>
      </w:pPr>
      <w:r>
        <w:rPr>
          <w:rFonts w:hint="eastAsia"/>
          <w:szCs w:val="21"/>
          <w:u w:val="single"/>
        </w:rPr>
        <w:t>（备注：如联合体投标，单位一栏仅需填写牵头人的名称）</w:t>
      </w:r>
    </w:p>
    <w:p w14:paraId="1B8DAEF3">
      <w:pPr>
        <w:spacing w:line="360" w:lineRule="auto"/>
        <w:rPr>
          <w:rFonts w:hint="eastAsia" w:ascii="Times New Roman" w:hAnsi="Times New Roman"/>
          <w:b/>
          <w:sz w:val="24"/>
          <w:szCs w:val="24"/>
          <w:lang w:val="en-US" w:eastAsia="zh-CN"/>
        </w:rPr>
      </w:pPr>
    </w:p>
    <w:p w14:paraId="4DA2074B">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13F722E6">
      <w:pPr>
        <w:pStyle w:val="177"/>
        <w:rPr>
          <w:rFonts w:hint="eastAsia"/>
        </w:rPr>
      </w:pPr>
    </w:p>
    <w:p w14:paraId="3D29180C">
      <w:pPr>
        <w:keepNext/>
        <w:keepLines/>
        <w:widowControl w:val="0"/>
        <w:spacing w:before="260" w:after="260"/>
        <w:jc w:val="center"/>
        <w:outlineLvl w:val="2"/>
        <w:rPr>
          <w:rFonts w:ascii="黑体" w:eastAsia="黑体"/>
          <w:bCs/>
          <w:sz w:val="24"/>
          <w:szCs w:val="24"/>
        </w:rPr>
      </w:pPr>
      <w:r>
        <w:rPr>
          <w:rFonts w:ascii="宋体"/>
          <w:b/>
          <w:bCs/>
          <w:sz w:val="28"/>
          <w:szCs w:val="32"/>
        </w:rPr>
        <w:tab/>
      </w:r>
      <w:r>
        <w:rPr>
          <w:rFonts w:hint="eastAsia" w:ascii="黑体" w:eastAsia="黑体"/>
          <w:bCs/>
          <w:kern w:val="0"/>
          <w:sz w:val="24"/>
          <w:szCs w:val="24"/>
          <w:lang w:val="en-US" w:eastAsia="zh-CN"/>
        </w:rPr>
        <w:t>九</w:t>
      </w:r>
      <w:r>
        <w:rPr>
          <w:rFonts w:hint="eastAsia" w:ascii="黑体" w:eastAsia="黑体"/>
          <w:bCs/>
          <w:kern w:val="0"/>
          <w:sz w:val="24"/>
          <w:szCs w:val="24"/>
        </w:rPr>
        <w:t>、投标文件签署授权委托书</w:t>
      </w:r>
    </w:p>
    <w:p w14:paraId="2A86536F">
      <w:pPr>
        <w:spacing w:line="360" w:lineRule="auto"/>
        <w:ind w:firstLine="420" w:firstLineChars="200"/>
        <w:rPr>
          <w:rFonts w:ascii="Times New Roman" w:hAnsi="Times New Roman"/>
          <w:szCs w:val="21"/>
        </w:rPr>
      </w:pPr>
      <w:r>
        <w:rPr>
          <w:rFonts w:hint="eastAsia" w:ascii="Times New Roman" w:hAnsi="Times New Roman"/>
          <w:szCs w:val="21"/>
        </w:rPr>
        <w:t>本授权委托书声明：我</w:t>
      </w:r>
      <w:r>
        <w:rPr>
          <w:rFonts w:hint="eastAsia" w:ascii="Times New Roman" w:hAnsi="Times New Roman"/>
          <w:szCs w:val="21"/>
          <w:u w:val="single"/>
        </w:rPr>
        <w:t xml:space="preserve">           </w:t>
      </w:r>
      <w:r>
        <w:rPr>
          <w:rFonts w:hint="eastAsia" w:ascii="Times New Roman" w:hAnsi="Times New Roman"/>
          <w:szCs w:val="21"/>
        </w:rPr>
        <w:t>（姓名）系</w:t>
      </w:r>
      <w:r>
        <w:rPr>
          <w:rFonts w:hint="eastAsia" w:ascii="Times New Roman" w:hAnsi="Times New Roman"/>
          <w:szCs w:val="21"/>
          <w:u w:val="single"/>
        </w:rPr>
        <w:t xml:space="preserve">             </w:t>
      </w:r>
      <w:r>
        <w:rPr>
          <w:rFonts w:hint="eastAsia" w:ascii="Times New Roman" w:hAnsi="Times New Roman"/>
          <w:szCs w:val="21"/>
        </w:rPr>
        <w:t>（投标供应商名称）的法定代表人</w:t>
      </w:r>
      <w:r>
        <w:rPr>
          <w:rFonts w:hint="eastAsia" w:ascii="黑体" w:eastAsia="黑体"/>
          <w:b/>
          <w:kern w:val="0"/>
          <w:sz w:val="24"/>
          <w:szCs w:val="24"/>
        </w:rPr>
        <w:t>（负责人）</w:t>
      </w:r>
      <w:r>
        <w:rPr>
          <w:rFonts w:hint="eastAsia" w:ascii="Times New Roman" w:hAnsi="Times New Roman"/>
          <w:szCs w:val="21"/>
        </w:rPr>
        <w:t>，现授权委托</w:t>
      </w:r>
      <w:r>
        <w:rPr>
          <w:rFonts w:hint="eastAsia" w:ascii="Times New Roman" w:hAnsi="Times New Roman"/>
          <w:szCs w:val="21"/>
          <w:u w:val="single"/>
        </w:rPr>
        <w:t xml:space="preserve">            </w:t>
      </w:r>
      <w:r>
        <w:rPr>
          <w:rFonts w:hint="eastAsia" w:ascii="Times New Roman" w:hAnsi="Times New Roman"/>
          <w:szCs w:val="21"/>
        </w:rPr>
        <w:t>（姓名）为我公司签署本项目已递交的投标文件的法定代表人的授权委托代理人，代理人全权代表我所签署的本项目已递交的投标文件内容我均承认。</w:t>
      </w:r>
    </w:p>
    <w:p w14:paraId="115DDD12">
      <w:pPr>
        <w:spacing w:line="360" w:lineRule="auto"/>
        <w:ind w:firstLine="420"/>
        <w:rPr>
          <w:rFonts w:ascii="Times New Roman" w:hAnsi="Times New Roman"/>
          <w:szCs w:val="21"/>
        </w:rPr>
      </w:pPr>
      <w:r>
        <w:rPr>
          <w:rFonts w:hint="eastAsia" w:ascii="Times New Roman" w:hAnsi="Times New Roman"/>
          <w:szCs w:val="21"/>
        </w:rPr>
        <w:t>代理人无转委托权，特此委托。</w:t>
      </w:r>
    </w:p>
    <w:p w14:paraId="4E81600B">
      <w:pPr>
        <w:spacing w:line="360" w:lineRule="auto"/>
        <w:ind w:firstLine="420"/>
        <w:rPr>
          <w:rFonts w:ascii="Times New Roman" w:hAnsi="Times New Roman"/>
          <w:szCs w:val="21"/>
        </w:rPr>
      </w:pPr>
    </w:p>
    <w:p w14:paraId="333DADE1">
      <w:pPr>
        <w:spacing w:line="360" w:lineRule="auto"/>
        <w:ind w:left="540" w:leftChars="257"/>
        <w:rPr>
          <w:rFonts w:ascii="Times New Roman" w:hAnsi="Times New Roman"/>
          <w:szCs w:val="21"/>
          <w:u w:val="single"/>
        </w:rPr>
      </w:pPr>
      <w:r>
        <w:rPr>
          <w:rFonts w:hint="eastAsia" w:ascii="Times New Roman" w:hAnsi="Times New Roman"/>
          <w:szCs w:val="21"/>
        </w:rPr>
        <w:t>代理人：</w:t>
      </w:r>
      <w:r>
        <w:rPr>
          <w:rFonts w:hint="eastAsia" w:ascii="Times New Roman" w:hAnsi="Times New Roman"/>
          <w:szCs w:val="21"/>
          <w:u w:val="single"/>
        </w:rPr>
        <w:t xml:space="preserve">             </w:t>
      </w:r>
    </w:p>
    <w:p w14:paraId="71E6C7D6">
      <w:pPr>
        <w:spacing w:line="360" w:lineRule="auto"/>
        <w:ind w:left="540" w:leftChars="257"/>
        <w:rPr>
          <w:rFonts w:ascii="Times New Roman" w:hAnsi="Times New Roman"/>
          <w:szCs w:val="21"/>
        </w:rPr>
      </w:pPr>
      <w:r>
        <w:rPr>
          <w:rFonts w:hint="eastAsia" w:ascii="Times New Roman" w:hAnsi="Times New Roman"/>
          <w:szCs w:val="21"/>
        </w:rPr>
        <w:t>联系电话：</w:t>
      </w:r>
      <w:r>
        <w:rPr>
          <w:rFonts w:hint="eastAsia" w:ascii="Times New Roman" w:hAnsi="Times New Roman"/>
          <w:szCs w:val="21"/>
          <w:u w:val="single"/>
        </w:rPr>
        <w:t xml:space="preserve">            </w:t>
      </w:r>
      <w:r>
        <w:rPr>
          <w:rFonts w:hint="eastAsia" w:ascii="Times New Roman" w:hAnsi="Times New Roman"/>
          <w:szCs w:val="21"/>
        </w:rPr>
        <w:t xml:space="preserve">  手机：</w:t>
      </w:r>
      <w:r>
        <w:rPr>
          <w:rFonts w:hint="eastAsia" w:ascii="Times New Roman" w:hAnsi="Times New Roman"/>
          <w:szCs w:val="21"/>
          <w:u w:val="single"/>
        </w:rPr>
        <w:t xml:space="preserve">                   </w:t>
      </w:r>
    </w:p>
    <w:p w14:paraId="7E1FD0CE">
      <w:pPr>
        <w:spacing w:line="360" w:lineRule="auto"/>
        <w:ind w:left="540" w:leftChars="257"/>
        <w:rPr>
          <w:rFonts w:ascii="Times New Roman" w:hAnsi="Times New Roman"/>
          <w:szCs w:val="21"/>
          <w:u w:val="single"/>
        </w:rPr>
      </w:pPr>
      <w:r>
        <w:rPr>
          <w:rFonts w:hint="eastAsia" w:ascii="Times New Roman" w:hAnsi="Times New Roman"/>
          <w:szCs w:val="21"/>
        </w:rPr>
        <w:t>身份证号码：</w:t>
      </w:r>
      <w:r>
        <w:rPr>
          <w:rFonts w:hint="eastAsia" w:ascii="Times New Roman" w:hAnsi="Times New Roman"/>
          <w:szCs w:val="21"/>
          <w:u w:val="single"/>
        </w:rPr>
        <w:t xml:space="preserve">                        </w:t>
      </w:r>
      <w:r>
        <w:rPr>
          <w:rFonts w:hint="eastAsia" w:ascii="Times New Roman" w:hAnsi="Times New Roman"/>
          <w:szCs w:val="21"/>
        </w:rPr>
        <w:t>职务：</w:t>
      </w:r>
      <w:r>
        <w:rPr>
          <w:rFonts w:hint="eastAsia" w:ascii="Times New Roman" w:hAnsi="Times New Roman"/>
          <w:szCs w:val="21"/>
          <w:u w:val="single"/>
        </w:rPr>
        <w:t xml:space="preserve">       </w:t>
      </w:r>
    </w:p>
    <w:p w14:paraId="2767E390">
      <w:pPr>
        <w:spacing w:line="360" w:lineRule="auto"/>
        <w:ind w:left="540" w:leftChars="257"/>
        <w:rPr>
          <w:rFonts w:ascii="Times New Roman" w:hAnsi="Times New Roman"/>
          <w:szCs w:val="21"/>
        </w:rPr>
      </w:pPr>
      <w:r>
        <w:rPr>
          <w:rFonts w:hint="eastAsia" w:ascii="Times New Roman" w:hAnsi="Times New Roman"/>
          <w:szCs w:val="21"/>
        </w:rPr>
        <w:t>授权委托日期：</w:t>
      </w:r>
      <w:r>
        <w:rPr>
          <w:rFonts w:hint="eastAsia" w:ascii="Times New Roman" w:hAnsi="Times New Roman"/>
          <w:szCs w:val="21"/>
          <w:u w:val="single"/>
        </w:rPr>
        <w:t xml:space="preserve">         </w:t>
      </w:r>
      <w:r>
        <w:rPr>
          <w:rFonts w:hint="eastAsia" w:ascii="Times New Roman" w:hAnsi="Times New Roman"/>
          <w:szCs w:val="21"/>
        </w:rPr>
        <w:t>年</w:t>
      </w:r>
      <w:r>
        <w:rPr>
          <w:rFonts w:hint="eastAsia" w:ascii="Times New Roman" w:hAnsi="Times New Roman"/>
          <w:szCs w:val="21"/>
          <w:u w:val="single"/>
        </w:rPr>
        <w:t xml:space="preserve">     </w:t>
      </w:r>
      <w:r>
        <w:rPr>
          <w:rFonts w:hint="eastAsia" w:ascii="Times New Roman" w:hAnsi="Times New Roman"/>
          <w:szCs w:val="21"/>
        </w:rPr>
        <w:t xml:space="preserve">月 </w:t>
      </w:r>
      <w:r>
        <w:rPr>
          <w:rFonts w:hint="eastAsia" w:ascii="Times New Roman" w:hAnsi="Times New Roman"/>
          <w:szCs w:val="21"/>
          <w:u w:val="single"/>
        </w:rPr>
        <w:t xml:space="preserve">      </w:t>
      </w:r>
      <w:r>
        <w:rPr>
          <w:rFonts w:hint="eastAsia" w:ascii="Times New Roman" w:hAnsi="Times New Roman"/>
          <w:szCs w:val="21"/>
        </w:rPr>
        <w:t>日</w:t>
      </w:r>
    </w:p>
    <w:p w14:paraId="1920A567">
      <w:pPr>
        <w:spacing w:line="360" w:lineRule="auto"/>
        <w:ind w:left="540" w:leftChars="257"/>
        <w:rPr>
          <w:rFonts w:ascii="Times New Roman" w:hAnsi="Times New Roman"/>
          <w:szCs w:val="21"/>
          <w:u w:val="single"/>
        </w:rPr>
      </w:pPr>
    </w:p>
    <w:p w14:paraId="4F97D3D7">
      <w:pPr>
        <w:spacing w:line="360" w:lineRule="auto"/>
        <w:rPr>
          <w:rFonts w:ascii="Times New Roman" w:hAnsi="Times New Roman"/>
          <w:b/>
          <w:sz w:val="24"/>
          <w:szCs w:val="24"/>
        </w:rPr>
      </w:pPr>
      <w:r>
        <w:rPr>
          <w:rFonts w:hint="eastAsia" w:ascii="Times New Roman" w:hAnsi="Times New Roman"/>
          <w:b/>
          <w:sz w:val="24"/>
          <w:szCs w:val="24"/>
        </w:rPr>
        <w:t>附：要求必须提供代理人身份证扫描件（正反两面）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440D42DD">
      <w:pPr>
        <w:rPr>
          <w:szCs w:val="21"/>
          <w:u w:val="single"/>
        </w:rPr>
      </w:pPr>
    </w:p>
    <w:p w14:paraId="43BE16DE">
      <w:pPr>
        <w:rPr>
          <w:rFonts w:ascii="宋体"/>
          <w:szCs w:val="21"/>
        </w:rPr>
      </w:pPr>
      <w:r>
        <w:rPr>
          <w:rFonts w:hint="eastAsia"/>
          <w:szCs w:val="21"/>
          <w:u w:val="single"/>
        </w:rPr>
        <w:t>（备注：如联合体投标，投标供应商名称一栏仅需填写牵头人的名称）</w:t>
      </w:r>
    </w:p>
    <w:p w14:paraId="391164AC">
      <w:pPr>
        <w:spacing w:line="360" w:lineRule="auto"/>
        <w:rPr>
          <w:rFonts w:ascii="黑体" w:eastAsia="黑体"/>
          <w:b/>
          <w:sz w:val="24"/>
        </w:rPr>
      </w:pPr>
    </w:p>
    <w:p w14:paraId="40414E69">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2329B093">
      <w:pPr>
        <w:pStyle w:val="18"/>
      </w:pPr>
    </w:p>
    <w:p w14:paraId="6575EABE">
      <w:pPr>
        <w:keepNext/>
        <w:keepLines/>
        <w:widowControl w:val="0"/>
        <w:spacing w:before="260" w:after="260"/>
        <w:jc w:val="center"/>
        <w:outlineLvl w:val="2"/>
        <w:rPr>
          <w:rFonts w:ascii="黑体" w:eastAsia="黑体"/>
          <w:bCs/>
          <w:kern w:val="0"/>
          <w:sz w:val="24"/>
        </w:rPr>
      </w:pPr>
      <w:r>
        <w:rPr>
          <w:rFonts w:hint="eastAsia" w:ascii="黑体" w:eastAsia="黑体"/>
          <w:bCs/>
          <w:kern w:val="0"/>
          <w:sz w:val="24"/>
          <w:lang w:val="en-US" w:eastAsia="zh-CN"/>
        </w:rPr>
        <w:t>十</w:t>
      </w:r>
      <w:r>
        <w:rPr>
          <w:rFonts w:hint="eastAsia" w:ascii="黑体" w:eastAsia="黑体"/>
          <w:bCs/>
          <w:kern w:val="0"/>
          <w:sz w:val="24"/>
        </w:rPr>
        <w:t>、实质性条款响应情况表</w:t>
      </w:r>
    </w:p>
    <w:tbl>
      <w:tblPr>
        <w:tblStyle w:val="42"/>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5215"/>
        <w:gridCol w:w="2693"/>
      </w:tblGrid>
      <w:tr w14:paraId="6EF62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27E92B19">
            <w:pPr>
              <w:adjustRightInd w:val="0"/>
              <w:snapToGrid w:val="0"/>
              <w:spacing w:line="360" w:lineRule="auto"/>
              <w:jc w:val="center"/>
              <w:rPr>
                <w:rFonts w:ascii="宋体"/>
                <w:kern w:val="0"/>
                <w:szCs w:val="21"/>
              </w:rPr>
            </w:pPr>
            <w:r>
              <w:rPr>
                <w:rFonts w:hint="eastAsia" w:ascii="宋体"/>
                <w:kern w:val="0"/>
                <w:szCs w:val="21"/>
              </w:rPr>
              <w:t>序号</w:t>
            </w:r>
          </w:p>
        </w:tc>
        <w:tc>
          <w:tcPr>
            <w:tcW w:w="5215" w:type="dxa"/>
          </w:tcPr>
          <w:p w14:paraId="2B408EBA">
            <w:pPr>
              <w:adjustRightInd w:val="0"/>
              <w:snapToGrid w:val="0"/>
              <w:spacing w:line="360" w:lineRule="auto"/>
              <w:jc w:val="center"/>
              <w:rPr>
                <w:rFonts w:ascii="宋体"/>
                <w:kern w:val="0"/>
                <w:szCs w:val="21"/>
              </w:rPr>
            </w:pPr>
            <w:r>
              <w:rPr>
                <w:rFonts w:hint="eastAsia" w:ascii="宋体"/>
                <w:kern w:val="0"/>
                <w:szCs w:val="21"/>
              </w:rPr>
              <w:t>采购人要求内容</w:t>
            </w:r>
          </w:p>
        </w:tc>
        <w:tc>
          <w:tcPr>
            <w:tcW w:w="2693" w:type="dxa"/>
          </w:tcPr>
          <w:p w14:paraId="1E9F06D5">
            <w:pPr>
              <w:adjustRightInd w:val="0"/>
              <w:snapToGrid w:val="0"/>
              <w:spacing w:line="360" w:lineRule="auto"/>
              <w:jc w:val="center"/>
              <w:rPr>
                <w:rFonts w:ascii="宋体"/>
                <w:kern w:val="0"/>
                <w:szCs w:val="21"/>
              </w:rPr>
            </w:pPr>
            <w:r>
              <w:rPr>
                <w:rFonts w:hint="eastAsia" w:ascii="宋体"/>
                <w:kern w:val="0"/>
                <w:szCs w:val="21"/>
              </w:rPr>
              <w:t>投标人响应情况</w:t>
            </w:r>
          </w:p>
        </w:tc>
      </w:tr>
      <w:tr w14:paraId="55FA9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5F17DA26">
            <w:pPr>
              <w:spacing w:line="360" w:lineRule="auto"/>
              <w:jc w:val="center"/>
              <w:rPr>
                <w:rFonts w:ascii="宋体" w:eastAsia="宋体"/>
                <w:szCs w:val="21"/>
              </w:rPr>
            </w:pPr>
            <w:r>
              <w:rPr>
                <w:rFonts w:hint="eastAsia" w:ascii="宋体" w:eastAsia="宋体"/>
                <w:szCs w:val="21"/>
              </w:rPr>
              <w:t>1</w:t>
            </w:r>
          </w:p>
        </w:tc>
        <w:tc>
          <w:tcPr>
            <w:tcW w:w="5215" w:type="dxa"/>
          </w:tcPr>
          <w:p w14:paraId="6FAE4CAA">
            <w:pPr>
              <w:keepNext/>
              <w:keepLines/>
              <w:widowControl w:val="0"/>
              <w:tabs>
                <w:tab w:val="left" w:pos="765"/>
              </w:tabs>
              <w:spacing w:line="377" w:lineRule="auto"/>
              <w:outlineLvl w:val="3"/>
              <w:rPr>
                <w:rFonts w:ascii="宋体" w:eastAsia="宋体"/>
                <w:bCs/>
                <w:szCs w:val="21"/>
              </w:rPr>
            </w:pPr>
            <w:r>
              <w:rPr>
                <w:rFonts w:hint="eastAsia" w:ascii="宋体" w:eastAsia="宋体" w:cs="宋体"/>
                <w:kern w:val="0"/>
                <w:sz w:val="21"/>
                <w:szCs w:val="21"/>
              </w:rPr>
              <w:t>满足本项目</w:t>
            </w:r>
            <w:r>
              <w:rPr>
                <w:rFonts w:hint="eastAsia" w:ascii="宋体" w:eastAsia="宋体" w:cs="宋体"/>
                <w:kern w:val="0"/>
                <w:sz w:val="21"/>
                <w:szCs w:val="21"/>
                <w:lang w:eastAsia="zh-CN"/>
              </w:rPr>
              <w:t>所有</w:t>
            </w:r>
            <w:r>
              <w:rPr>
                <w:rFonts w:hint="eastAsia" w:ascii="宋体" w:eastAsia="宋体" w:cs="宋体"/>
                <w:kern w:val="0"/>
                <w:sz w:val="21"/>
                <w:szCs w:val="21"/>
              </w:rPr>
              <w:t>标★的条款要求</w:t>
            </w:r>
            <w:r>
              <w:rPr>
                <w:rFonts w:hint="eastAsia" w:ascii="宋体" w:eastAsia="宋体" w:cs="宋体"/>
                <w:b/>
                <w:bCs/>
                <w:kern w:val="0"/>
                <w:sz w:val="21"/>
                <w:szCs w:val="21"/>
                <w:lang w:eastAsia="zh-CN"/>
              </w:rPr>
              <w:t>（涉及提供佐证材料的，应按要求提供相应证明材料，任一项未响应或不满足要求的，将导致投标无效。）</w:t>
            </w:r>
          </w:p>
        </w:tc>
        <w:tc>
          <w:tcPr>
            <w:tcW w:w="2693" w:type="dxa"/>
          </w:tcPr>
          <w:p w14:paraId="508A4D1C">
            <w:pPr>
              <w:adjustRightInd w:val="0"/>
              <w:snapToGrid w:val="0"/>
              <w:spacing w:line="360" w:lineRule="auto"/>
              <w:rPr>
                <w:rFonts w:ascii="宋体"/>
                <w:kern w:val="0"/>
                <w:szCs w:val="21"/>
              </w:rPr>
            </w:pPr>
          </w:p>
        </w:tc>
      </w:tr>
    </w:tbl>
    <w:p w14:paraId="48CDD5E9">
      <w:pPr>
        <w:keepNext/>
        <w:keepLines/>
        <w:widowControl w:val="0"/>
        <w:tabs>
          <w:tab w:val="left" w:pos="765"/>
        </w:tabs>
        <w:spacing w:line="377" w:lineRule="auto"/>
        <w:outlineLvl w:val="3"/>
        <w:rPr>
          <w:rFonts w:ascii="宋体" w:eastAsia="宋体"/>
          <w:bCs/>
          <w:kern w:val="0"/>
          <w:szCs w:val="21"/>
        </w:rPr>
      </w:pPr>
      <w:r>
        <w:rPr>
          <w:rFonts w:hint="eastAsia" w:ascii="宋体" w:eastAsia="宋体"/>
          <w:bCs/>
          <w:kern w:val="0"/>
          <w:szCs w:val="21"/>
        </w:rPr>
        <w:t>注：1.“</w:t>
      </w:r>
      <w:r>
        <w:rPr>
          <w:rFonts w:hint="eastAsia" w:ascii="宋体"/>
          <w:kern w:val="0"/>
          <w:szCs w:val="21"/>
        </w:rPr>
        <w:t>采购人要求内容</w:t>
      </w:r>
      <w:r>
        <w:rPr>
          <w:rFonts w:hint="eastAsia" w:ascii="宋体" w:eastAsia="宋体"/>
          <w:bCs/>
          <w:kern w:val="0"/>
          <w:szCs w:val="21"/>
        </w:rPr>
        <w:t>”为</w:t>
      </w:r>
      <w:r>
        <w:rPr>
          <w:rFonts w:hint="eastAsia" w:ascii="宋体" w:eastAsia="宋体"/>
          <w:b/>
          <w:szCs w:val="21"/>
          <w:highlight w:val="yellow"/>
        </w:rPr>
        <w:t>“第一册  专用条款/第二章  招标项目需求”</w:t>
      </w:r>
      <w:r>
        <w:rPr>
          <w:rFonts w:hint="eastAsia" w:ascii="宋体" w:eastAsia="宋体"/>
          <w:bCs/>
          <w:kern w:val="0"/>
          <w:szCs w:val="21"/>
        </w:rPr>
        <w:t>中的不可负偏离的实质性条款，即“实质性条款”。</w:t>
      </w:r>
    </w:p>
    <w:p w14:paraId="05F2B547">
      <w:pPr>
        <w:keepNext/>
        <w:keepLines/>
        <w:widowControl w:val="0"/>
        <w:tabs>
          <w:tab w:val="left" w:pos="765"/>
        </w:tabs>
        <w:spacing w:line="377" w:lineRule="auto"/>
        <w:outlineLvl w:val="3"/>
        <w:rPr>
          <w:rFonts w:ascii="宋体" w:eastAsia="宋体"/>
          <w:bCs/>
          <w:kern w:val="0"/>
          <w:szCs w:val="21"/>
        </w:rPr>
      </w:pPr>
      <w:r>
        <w:rPr>
          <w:rFonts w:hint="eastAsia" w:ascii="宋体" w:eastAsia="宋体"/>
          <w:bCs/>
          <w:kern w:val="0"/>
          <w:szCs w:val="21"/>
        </w:rPr>
        <w:t>2.“投标人响应情况”一栏应如实填写“响应”或“不响应”。</w:t>
      </w:r>
    </w:p>
    <w:p w14:paraId="3AAB274D">
      <w:pPr>
        <w:spacing w:line="360" w:lineRule="auto"/>
        <w:rPr>
          <w:rFonts w:ascii="宋体"/>
          <w:szCs w:val="21"/>
        </w:rPr>
      </w:pPr>
      <w:r>
        <w:rPr>
          <w:rFonts w:hint="eastAsia" w:ascii="宋体" w:eastAsia="宋体"/>
          <w:bCs/>
          <w:kern w:val="0"/>
          <w:szCs w:val="21"/>
        </w:rPr>
        <w:t>3.“实质性条款响应情况表”与投标文件其它内容冲突的，以“实质性条款响应情况表”为准</w:t>
      </w:r>
      <w:r>
        <w:rPr>
          <w:rFonts w:hint="eastAsia" w:ascii="宋体"/>
          <w:szCs w:val="21"/>
        </w:rPr>
        <w:t>。</w:t>
      </w:r>
    </w:p>
    <w:p w14:paraId="62B06FAD">
      <w:pPr>
        <w:keepNext/>
        <w:keepLines/>
        <w:widowControl w:val="0"/>
        <w:tabs>
          <w:tab w:val="left" w:pos="765"/>
        </w:tabs>
        <w:spacing w:line="377" w:lineRule="auto"/>
        <w:outlineLvl w:val="3"/>
        <w:rPr>
          <w:rFonts w:ascii="宋体" w:eastAsia="宋体"/>
          <w:bCs/>
          <w:kern w:val="0"/>
          <w:szCs w:val="21"/>
          <w:highlight w:val="yellow"/>
        </w:rPr>
      </w:pPr>
      <w:r>
        <w:rPr>
          <w:rFonts w:hint="eastAsia" w:ascii="宋体" w:eastAsia="宋体"/>
          <w:bCs/>
          <w:kern w:val="0"/>
          <w:szCs w:val="21"/>
          <w:highlight w:val="yellow"/>
        </w:rPr>
        <w:t>4.标★的条款要求提供证明材料的，应</w:t>
      </w:r>
      <w:r>
        <w:rPr>
          <w:rFonts w:hint="eastAsia" w:ascii="宋体" w:eastAsia="宋体"/>
          <w:bCs/>
          <w:kern w:val="0"/>
          <w:szCs w:val="21"/>
          <w:highlight w:val="yellow"/>
          <w:lang w:eastAsia="zh-CN"/>
        </w:rPr>
        <w:t>将证明材料</w:t>
      </w:r>
      <w:r>
        <w:rPr>
          <w:rFonts w:hint="eastAsia" w:ascii="宋体" w:eastAsia="宋体"/>
          <w:bCs/>
          <w:kern w:val="0"/>
          <w:szCs w:val="21"/>
          <w:highlight w:val="yellow"/>
        </w:rPr>
        <w:t>附在本表后，未提供证明材料或证明材料与响应情况不相符的，按负偏离处理。</w:t>
      </w:r>
    </w:p>
    <w:p w14:paraId="701939AC">
      <w:pPr>
        <w:pStyle w:val="18"/>
      </w:pPr>
    </w:p>
    <w:p w14:paraId="67797EC2">
      <w:pPr>
        <w:pStyle w:val="3"/>
        <w:jc w:val="center"/>
        <w:rPr>
          <w:rFonts w:ascii="黑体" w:eastAsia="黑体"/>
          <w:b w:val="0"/>
          <w:sz w:val="24"/>
          <w:szCs w:val="24"/>
        </w:rPr>
      </w:pPr>
      <w:r>
        <w:rPr>
          <w:rFonts w:hint="eastAsia" w:ascii="黑体" w:eastAsia="黑体"/>
          <w:b w:val="0"/>
          <w:sz w:val="24"/>
          <w:szCs w:val="24"/>
          <w:lang w:val="en-US" w:eastAsia="zh-CN"/>
        </w:rPr>
        <w:t>十一</w:t>
      </w:r>
      <w:r>
        <w:rPr>
          <w:rFonts w:hint="eastAsia" w:ascii="黑体" w:eastAsia="黑体"/>
          <w:b w:val="0"/>
          <w:sz w:val="24"/>
          <w:szCs w:val="24"/>
        </w:rPr>
        <w:t>、分项报价表</w:t>
      </w:r>
    </w:p>
    <w:p w14:paraId="37B19B36">
      <w:pPr>
        <w:numPr>
          <w:ilvl w:val="0"/>
          <w:numId w:val="12"/>
        </w:numPr>
        <w:jc w:val="center"/>
        <w:rPr>
          <w:b/>
          <w:sz w:val="24"/>
        </w:rPr>
      </w:pPr>
      <w:r>
        <w:rPr>
          <w:rFonts w:hint="eastAsia"/>
          <w:b/>
          <w:sz w:val="24"/>
        </w:rPr>
        <w:t>分项报价表</w:t>
      </w:r>
    </w:p>
    <w:tbl>
      <w:tblPr>
        <w:tblStyle w:val="42"/>
        <w:tblW w:w="107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384"/>
        <w:gridCol w:w="810"/>
        <w:gridCol w:w="840"/>
        <w:gridCol w:w="1059"/>
        <w:gridCol w:w="992"/>
        <w:gridCol w:w="651"/>
        <w:gridCol w:w="725"/>
        <w:gridCol w:w="709"/>
        <w:gridCol w:w="773"/>
        <w:gridCol w:w="980"/>
        <w:gridCol w:w="657"/>
        <w:gridCol w:w="657"/>
      </w:tblGrid>
      <w:tr w14:paraId="721E8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161CCBF8">
            <w:pPr>
              <w:adjustRightInd w:val="0"/>
              <w:snapToGrid w:val="0"/>
              <w:spacing w:line="300" w:lineRule="auto"/>
              <w:jc w:val="center"/>
              <w:rPr>
                <w:rFonts w:ascii="宋体" w:eastAsia="宋体"/>
                <w:snapToGrid w:val="0"/>
                <w:kern w:val="0"/>
              </w:rPr>
            </w:pPr>
            <w:r>
              <w:rPr>
                <w:rFonts w:ascii="宋体" w:eastAsia="宋体"/>
                <w:snapToGrid w:val="0"/>
                <w:kern w:val="0"/>
              </w:rPr>
              <w:t>序号</w:t>
            </w:r>
          </w:p>
        </w:tc>
        <w:tc>
          <w:tcPr>
            <w:tcW w:w="1384" w:type="dxa"/>
            <w:vAlign w:val="center"/>
          </w:tcPr>
          <w:p w14:paraId="2C8074A2">
            <w:pPr>
              <w:adjustRightInd w:val="0"/>
              <w:snapToGrid w:val="0"/>
              <w:spacing w:line="300" w:lineRule="auto"/>
              <w:jc w:val="center"/>
              <w:rPr>
                <w:rFonts w:ascii="宋体" w:eastAsia="宋体"/>
                <w:snapToGrid w:val="0"/>
                <w:kern w:val="0"/>
              </w:rPr>
            </w:pPr>
            <w:r>
              <w:rPr>
                <w:rFonts w:hint="eastAsia" w:ascii="宋体" w:eastAsia="宋体"/>
                <w:snapToGrid w:val="0"/>
                <w:kern w:val="0"/>
              </w:rPr>
              <w:t>货物</w:t>
            </w:r>
            <w:r>
              <w:rPr>
                <w:rFonts w:ascii="宋体" w:eastAsia="宋体"/>
                <w:snapToGrid w:val="0"/>
                <w:kern w:val="0"/>
              </w:rPr>
              <w:t>名称</w:t>
            </w:r>
          </w:p>
        </w:tc>
        <w:tc>
          <w:tcPr>
            <w:tcW w:w="810" w:type="dxa"/>
            <w:vAlign w:val="center"/>
          </w:tcPr>
          <w:p w14:paraId="6BE820F4">
            <w:pPr>
              <w:adjustRightInd w:val="0"/>
              <w:snapToGrid w:val="0"/>
              <w:spacing w:line="300" w:lineRule="auto"/>
              <w:jc w:val="center"/>
              <w:rPr>
                <w:rFonts w:ascii="宋体" w:eastAsia="宋体"/>
                <w:snapToGrid w:val="0"/>
                <w:kern w:val="0"/>
              </w:rPr>
            </w:pPr>
            <w:r>
              <w:rPr>
                <w:rFonts w:hint="eastAsia" w:ascii="宋体" w:eastAsia="宋体"/>
                <w:snapToGrid w:val="0"/>
                <w:kern w:val="0"/>
              </w:rPr>
              <w:t>品牌</w:t>
            </w:r>
          </w:p>
        </w:tc>
        <w:tc>
          <w:tcPr>
            <w:tcW w:w="840" w:type="dxa"/>
            <w:vAlign w:val="center"/>
          </w:tcPr>
          <w:p w14:paraId="7C432384">
            <w:pPr>
              <w:adjustRightInd w:val="0"/>
              <w:snapToGrid w:val="0"/>
              <w:spacing w:line="300" w:lineRule="auto"/>
              <w:jc w:val="center"/>
              <w:rPr>
                <w:rFonts w:ascii="宋体" w:eastAsia="宋体"/>
                <w:snapToGrid w:val="0"/>
                <w:kern w:val="0"/>
              </w:rPr>
            </w:pPr>
            <w:r>
              <w:rPr>
                <w:rFonts w:hint="eastAsia" w:ascii="宋体" w:eastAsia="宋体"/>
                <w:szCs w:val="21"/>
              </w:rPr>
              <w:t>规格/型号</w:t>
            </w:r>
          </w:p>
        </w:tc>
        <w:tc>
          <w:tcPr>
            <w:tcW w:w="1059" w:type="dxa"/>
            <w:vAlign w:val="center"/>
          </w:tcPr>
          <w:p w14:paraId="5FFEBDE0">
            <w:pPr>
              <w:adjustRightInd w:val="0"/>
              <w:snapToGrid w:val="0"/>
              <w:spacing w:line="300" w:lineRule="auto"/>
              <w:jc w:val="center"/>
              <w:rPr>
                <w:rFonts w:ascii="宋体" w:eastAsia="宋体"/>
                <w:snapToGrid w:val="0"/>
                <w:kern w:val="0"/>
              </w:rPr>
            </w:pPr>
            <w:r>
              <w:rPr>
                <w:rFonts w:ascii="宋体" w:eastAsia="宋体"/>
                <w:snapToGrid w:val="0"/>
                <w:kern w:val="0"/>
              </w:rPr>
              <w:t>制造厂商</w:t>
            </w:r>
          </w:p>
        </w:tc>
        <w:tc>
          <w:tcPr>
            <w:tcW w:w="992" w:type="dxa"/>
            <w:vAlign w:val="center"/>
          </w:tcPr>
          <w:p w14:paraId="270DCC10">
            <w:pPr>
              <w:adjustRightInd w:val="0"/>
              <w:snapToGrid w:val="0"/>
              <w:spacing w:line="300" w:lineRule="auto"/>
              <w:jc w:val="center"/>
              <w:rPr>
                <w:rFonts w:ascii="宋体" w:eastAsia="宋体"/>
                <w:snapToGrid w:val="0"/>
                <w:kern w:val="0"/>
              </w:rPr>
            </w:pPr>
            <w:r>
              <w:rPr>
                <w:rFonts w:hint="eastAsia" w:ascii="宋体" w:eastAsia="宋体"/>
                <w:snapToGrid w:val="0"/>
                <w:kern w:val="0"/>
              </w:rPr>
              <w:t>原产地</w:t>
            </w:r>
          </w:p>
        </w:tc>
        <w:tc>
          <w:tcPr>
            <w:tcW w:w="651" w:type="dxa"/>
            <w:vAlign w:val="center"/>
          </w:tcPr>
          <w:p w14:paraId="0C5DD0C3">
            <w:pPr>
              <w:adjustRightInd w:val="0"/>
              <w:snapToGrid w:val="0"/>
              <w:spacing w:line="300" w:lineRule="auto"/>
              <w:jc w:val="center"/>
              <w:rPr>
                <w:rFonts w:ascii="宋体" w:eastAsia="宋体"/>
                <w:snapToGrid w:val="0"/>
                <w:kern w:val="0"/>
              </w:rPr>
            </w:pPr>
            <w:r>
              <w:rPr>
                <w:rFonts w:ascii="宋体" w:eastAsia="宋体"/>
                <w:snapToGrid w:val="0"/>
                <w:kern w:val="0"/>
              </w:rPr>
              <w:t>数量</w:t>
            </w:r>
          </w:p>
        </w:tc>
        <w:tc>
          <w:tcPr>
            <w:tcW w:w="725" w:type="dxa"/>
            <w:vAlign w:val="center"/>
          </w:tcPr>
          <w:p w14:paraId="2D0E52E6">
            <w:pPr>
              <w:adjustRightInd w:val="0"/>
              <w:snapToGrid w:val="0"/>
              <w:spacing w:line="300" w:lineRule="auto"/>
              <w:jc w:val="center"/>
              <w:rPr>
                <w:rFonts w:ascii="宋体" w:eastAsia="宋体"/>
                <w:snapToGrid w:val="0"/>
                <w:kern w:val="0"/>
              </w:rPr>
            </w:pPr>
            <w:r>
              <w:rPr>
                <w:rFonts w:hint="eastAsia" w:ascii="宋体" w:eastAsia="宋体"/>
                <w:snapToGrid w:val="0"/>
                <w:kern w:val="0"/>
              </w:rPr>
              <w:t>单位</w:t>
            </w:r>
          </w:p>
        </w:tc>
        <w:tc>
          <w:tcPr>
            <w:tcW w:w="709" w:type="dxa"/>
            <w:vAlign w:val="center"/>
          </w:tcPr>
          <w:p w14:paraId="4BCAACEC">
            <w:pPr>
              <w:adjustRightInd w:val="0"/>
              <w:snapToGrid w:val="0"/>
              <w:spacing w:line="300" w:lineRule="auto"/>
              <w:jc w:val="center"/>
              <w:rPr>
                <w:rFonts w:ascii="宋体" w:eastAsia="宋体"/>
                <w:snapToGrid w:val="0"/>
                <w:kern w:val="0"/>
              </w:rPr>
            </w:pPr>
            <w:r>
              <w:rPr>
                <w:rFonts w:ascii="宋体" w:eastAsia="宋体"/>
                <w:snapToGrid w:val="0"/>
                <w:kern w:val="0"/>
              </w:rPr>
              <w:t>单价</w:t>
            </w:r>
          </w:p>
        </w:tc>
        <w:tc>
          <w:tcPr>
            <w:tcW w:w="773" w:type="dxa"/>
            <w:vAlign w:val="center"/>
          </w:tcPr>
          <w:p w14:paraId="3CA3FFD8">
            <w:pPr>
              <w:adjustRightInd w:val="0"/>
              <w:snapToGrid w:val="0"/>
              <w:spacing w:line="300" w:lineRule="auto"/>
              <w:jc w:val="center"/>
              <w:rPr>
                <w:rFonts w:ascii="宋体" w:eastAsia="宋体"/>
                <w:snapToGrid w:val="0"/>
                <w:kern w:val="0"/>
              </w:rPr>
            </w:pPr>
            <w:r>
              <w:rPr>
                <w:rFonts w:hint="eastAsia" w:ascii="宋体" w:eastAsia="宋体"/>
                <w:snapToGrid w:val="0"/>
                <w:kern w:val="0"/>
              </w:rPr>
              <w:t>合</w:t>
            </w:r>
            <w:r>
              <w:rPr>
                <w:rFonts w:ascii="宋体" w:eastAsia="宋体"/>
                <w:snapToGrid w:val="0"/>
                <w:kern w:val="0"/>
              </w:rPr>
              <w:t>价</w:t>
            </w:r>
          </w:p>
        </w:tc>
        <w:tc>
          <w:tcPr>
            <w:tcW w:w="980" w:type="dxa"/>
          </w:tcPr>
          <w:p w14:paraId="6A715F59">
            <w:pPr>
              <w:adjustRightInd w:val="0"/>
              <w:snapToGrid w:val="0"/>
              <w:spacing w:line="300" w:lineRule="auto"/>
              <w:jc w:val="center"/>
              <w:rPr>
                <w:rFonts w:ascii="宋体" w:eastAsia="宋体"/>
                <w:snapToGrid w:val="0"/>
                <w:kern w:val="0"/>
              </w:rPr>
            </w:pPr>
            <w:r>
              <w:rPr>
                <w:rFonts w:hint="eastAsia" w:ascii="宋体" w:eastAsia="宋体"/>
                <w:snapToGrid w:val="0"/>
                <w:kern w:val="0"/>
              </w:rPr>
              <w:t>预算金额或最高限价（如有）</w:t>
            </w:r>
          </w:p>
        </w:tc>
        <w:tc>
          <w:tcPr>
            <w:tcW w:w="657" w:type="dxa"/>
          </w:tcPr>
          <w:p w14:paraId="658A7951">
            <w:pPr>
              <w:adjustRightInd w:val="0"/>
              <w:snapToGrid w:val="0"/>
              <w:spacing w:line="300" w:lineRule="auto"/>
              <w:jc w:val="center"/>
              <w:rPr>
                <w:rFonts w:ascii="宋体" w:eastAsia="宋体"/>
                <w:snapToGrid w:val="0"/>
                <w:kern w:val="0"/>
              </w:rPr>
            </w:pPr>
            <w:r>
              <w:rPr>
                <w:rFonts w:hint="eastAsia" w:ascii="宋体" w:eastAsia="宋体"/>
                <w:snapToGrid w:val="0"/>
                <w:kern w:val="0"/>
              </w:rPr>
              <w:t>是否为进口产品</w:t>
            </w:r>
          </w:p>
        </w:tc>
        <w:tc>
          <w:tcPr>
            <w:tcW w:w="657" w:type="dxa"/>
            <w:vAlign w:val="center"/>
          </w:tcPr>
          <w:p w14:paraId="51AE3095">
            <w:pPr>
              <w:adjustRightInd w:val="0"/>
              <w:snapToGrid w:val="0"/>
              <w:spacing w:line="300" w:lineRule="auto"/>
              <w:jc w:val="center"/>
              <w:rPr>
                <w:rFonts w:hint="eastAsia" w:ascii="宋体" w:eastAsia="宋体"/>
                <w:snapToGrid w:val="0"/>
                <w:kern w:val="0"/>
                <w:lang w:eastAsia="zh-CN"/>
              </w:rPr>
            </w:pPr>
            <w:r>
              <w:rPr>
                <w:rFonts w:hint="eastAsia" w:ascii="宋体" w:eastAsia="宋体"/>
                <w:snapToGrid w:val="0"/>
                <w:kern w:val="0"/>
                <w:lang w:eastAsia="zh-CN"/>
              </w:rPr>
              <w:t>备注</w:t>
            </w:r>
          </w:p>
        </w:tc>
      </w:tr>
      <w:tr w14:paraId="087A7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73280B60">
            <w:pPr>
              <w:jc w:val="center"/>
              <w:rPr>
                <w:rFonts w:ascii="宋体" w:eastAsia="宋体" w:cs="仿宋"/>
                <w:szCs w:val="21"/>
              </w:rPr>
            </w:pPr>
            <w:r>
              <w:rPr>
                <w:rFonts w:hint="eastAsia" w:ascii="宋体" w:eastAsia="宋体" w:cs="仿宋"/>
                <w:szCs w:val="21"/>
              </w:rPr>
              <w:t>1</w:t>
            </w:r>
          </w:p>
        </w:tc>
        <w:tc>
          <w:tcPr>
            <w:tcW w:w="1384" w:type="dxa"/>
            <w:vAlign w:val="center"/>
          </w:tcPr>
          <w:p w14:paraId="6A6059ED">
            <w:pPr>
              <w:widowControl/>
              <w:spacing w:line="360" w:lineRule="auto"/>
              <w:jc w:val="center"/>
              <w:rPr>
                <w:rFonts w:ascii="宋体" w:eastAsia="宋体" w:cs="宋体"/>
                <w:kern w:val="0"/>
                <w:szCs w:val="21"/>
              </w:rPr>
            </w:pPr>
          </w:p>
        </w:tc>
        <w:tc>
          <w:tcPr>
            <w:tcW w:w="810" w:type="dxa"/>
            <w:vAlign w:val="center"/>
          </w:tcPr>
          <w:p w14:paraId="1D5C8F2A">
            <w:pPr>
              <w:adjustRightInd w:val="0"/>
              <w:snapToGrid w:val="0"/>
              <w:spacing w:line="300" w:lineRule="auto"/>
              <w:jc w:val="center"/>
              <w:rPr>
                <w:rFonts w:ascii="宋体" w:eastAsia="宋体"/>
                <w:snapToGrid w:val="0"/>
                <w:kern w:val="0"/>
              </w:rPr>
            </w:pPr>
          </w:p>
        </w:tc>
        <w:tc>
          <w:tcPr>
            <w:tcW w:w="840" w:type="dxa"/>
            <w:vAlign w:val="center"/>
          </w:tcPr>
          <w:p w14:paraId="1D3DFEEE">
            <w:pPr>
              <w:adjustRightInd w:val="0"/>
              <w:snapToGrid w:val="0"/>
              <w:spacing w:line="300" w:lineRule="auto"/>
              <w:jc w:val="center"/>
              <w:rPr>
                <w:rFonts w:ascii="宋体" w:eastAsia="宋体"/>
                <w:snapToGrid w:val="0"/>
                <w:kern w:val="0"/>
              </w:rPr>
            </w:pPr>
          </w:p>
        </w:tc>
        <w:tc>
          <w:tcPr>
            <w:tcW w:w="1059" w:type="dxa"/>
            <w:vAlign w:val="center"/>
          </w:tcPr>
          <w:p w14:paraId="424636D3">
            <w:pPr>
              <w:adjustRightInd w:val="0"/>
              <w:snapToGrid w:val="0"/>
              <w:spacing w:line="300" w:lineRule="auto"/>
              <w:jc w:val="center"/>
              <w:rPr>
                <w:rFonts w:ascii="宋体" w:eastAsia="宋体"/>
                <w:snapToGrid w:val="0"/>
                <w:kern w:val="0"/>
              </w:rPr>
            </w:pPr>
          </w:p>
        </w:tc>
        <w:tc>
          <w:tcPr>
            <w:tcW w:w="992" w:type="dxa"/>
            <w:vAlign w:val="center"/>
          </w:tcPr>
          <w:p w14:paraId="6B2BBFF4">
            <w:pPr>
              <w:adjustRightInd w:val="0"/>
              <w:snapToGrid w:val="0"/>
              <w:spacing w:line="300" w:lineRule="auto"/>
              <w:jc w:val="center"/>
              <w:rPr>
                <w:rFonts w:ascii="宋体" w:eastAsia="宋体"/>
                <w:snapToGrid w:val="0"/>
                <w:kern w:val="0"/>
              </w:rPr>
            </w:pPr>
          </w:p>
        </w:tc>
        <w:tc>
          <w:tcPr>
            <w:tcW w:w="651" w:type="dxa"/>
            <w:vAlign w:val="center"/>
          </w:tcPr>
          <w:p w14:paraId="478E99C3">
            <w:pPr>
              <w:adjustRightInd w:val="0"/>
              <w:snapToGrid w:val="0"/>
              <w:spacing w:line="300" w:lineRule="auto"/>
              <w:jc w:val="center"/>
              <w:rPr>
                <w:rFonts w:ascii="宋体" w:eastAsia="宋体"/>
                <w:snapToGrid w:val="0"/>
                <w:kern w:val="0"/>
              </w:rPr>
            </w:pPr>
          </w:p>
        </w:tc>
        <w:tc>
          <w:tcPr>
            <w:tcW w:w="725" w:type="dxa"/>
            <w:vAlign w:val="center"/>
          </w:tcPr>
          <w:p w14:paraId="22D79CC0">
            <w:pPr>
              <w:adjustRightInd w:val="0"/>
              <w:snapToGrid w:val="0"/>
              <w:spacing w:line="300" w:lineRule="auto"/>
              <w:jc w:val="center"/>
              <w:rPr>
                <w:rFonts w:ascii="宋体" w:eastAsia="宋体"/>
                <w:snapToGrid w:val="0"/>
                <w:kern w:val="0"/>
              </w:rPr>
            </w:pPr>
          </w:p>
        </w:tc>
        <w:tc>
          <w:tcPr>
            <w:tcW w:w="709" w:type="dxa"/>
            <w:vAlign w:val="center"/>
          </w:tcPr>
          <w:p w14:paraId="752EF79E">
            <w:pPr>
              <w:adjustRightInd w:val="0"/>
              <w:snapToGrid w:val="0"/>
              <w:spacing w:line="300" w:lineRule="auto"/>
              <w:jc w:val="center"/>
              <w:rPr>
                <w:rFonts w:ascii="宋体" w:eastAsia="宋体"/>
                <w:snapToGrid w:val="0"/>
                <w:kern w:val="0"/>
              </w:rPr>
            </w:pPr>
          </w:p>
        </w:tc>
        <w:tc>
          <w:tcPr>
            <w:tcW w:w="773" w:type="dxa"/>
          </w:tcPr>
          <w:p w14:paraId="5CBAD632">
            <w:pPr>
              <w:adjustRightInd w:val="0"/>
              <w:snapToGrid w:val="0"/>
              <w:spacing w:line="300" w:lineRule="auto"/>
              <w:jc w:val="center"/>
              <w:rPr>
                <w:rFonts w:ascii="宋体" w:eastAsia="宋体"/>
                <w:snapToGrid w:val="0"/>
                <w:kern w:val="0"/>
              </w:rPr>
            </w:pPr>
          </w:p>
        </w:tc>
        <w:tc>
          <w:tcPr>
            <w:tcW w:w="980" w:type="dxa"/>
          </w:tcPr>
          <w:p w14:paraId="72B737A4">
            <w:pPr>
              <w:adjustRightInd w:val="0"/>
              <w:snapToGrid w:val="0"/>
              <w:spacing w:line="300" w:lineRule="auto"/>
              <w:jc w:val="center"/>
              <w:rPr>
                <w:rFonts w:ascii="宋体" w:eastAsia="宋体"/>
                <w:snapToGrid w:val="0"/>
                <w:kern w:val="0"/>
              </w:rPr>
            </w:pPr>
          </w:p>
        </w:tc>
        <w:tc>
          <w:tcPr>
            <w:tcW w:w="657" w:type="dxa"/>
          </w:tcPr>
          <w:p w14:paraId="42811398">
            <w:pPr>
              <w:adjustRightInd w:val="0"/>
              <w:snapToGrid w:val="0"/>
              <w:spacing w:line="300" w:lineRule="auto"/>
              <w:jc w:val="center"/>
              <w:rPr>
                <w:rFonts w:ascii="宋体" w:eastAsia="宋体"/>
                <w:snapToGrid w:val="0"/>
                <w:kern w:val="0"/>
              </w:rPr>
            </w:pPr>
          </w:p>
        </w:tc>
        <w:tc>
          <w:tcPr>
            <w:tcW w:w="657" w:type="dxa"/>
          </w:tcPr>
          <w:p w14:paraId="554DC6A9">
            <w:pPr>
              <w:adjustRightInd w:val="0"/>
              <w:snapToGrid w:val="0"/>
              <w:spacing w:line="300" w:lineRule="auto"/>
              <w:jc w:val="center"/>
              <w:rPr>
                <w:rFonts w:ascii="宋体" w:eastAsia="宋体"/>
                <w:snapToGrid w:val="0"/>
                <w:kern w:val="0"/>
              </w:rPr>
            </w:pPr>
          </w:p>
        </w:tc>
      </w:tr>
      <w:tr w14:paraId="733BB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19BB1095">
            <w:pPr>
              <w:jc w:val="center"/>
              <w:rPr>
                <w:rFonts w:ascii="宋体" w:eastAsia="宋体" w:cs="仿宋"/>
                <w:szCs w:val="21"/>
              </w:rPr>
            </w:pPr>
            <w:r>
              <w:rPr>
                <w:rFonts w:hint="eastAsia" w:ascii="宋体" w:eastAsia="宋体" w:cs="仿宋"/>
                <w:szCs w:val="21"/>
              </w:rPr>
              <w:t>2</w:t>
            </w:r>
          </w:p>
        </w:tc>
        <w:tc>
          <w:tcPr>
            <w:tcW w:w="1384" w:type="dxa"/>
            <w:vAlign w:val="center"/>
          </w:tcPr>
          <w:p w14:paraId="40A811FA">
            <w:pPr>
              <w:widowControl/>
              <w:spacing w:line="360" w:lineRule="auto"/>
              <w:jc w:val="center"/>
              <w:rPr>
                <w:rFonts w:ascii="宋体" w:eastAsia="宋体" w:cs="宋体"/>
                <w:kern w:val="0"/>
                <w:szCs w:val="21"/>
              </w:rPr>
            </w:pPr>
          </w:p>
        </w:tc>
        <w:tc>
          <w:tcPr>
            <w:tcW w:w="810" w:type="dxa"/>
            <w:vAlign w:val="center"/>
          </w:tcPr>
          <w:p w14:paraId="38FDD0C5">
            <w:pPr>
              <w:adjustRightInd w:val="0"/>
              <w:snapToGrid w:val="0"/>
              <w:spacing w:line="300" w:lineRule="auto"/>
              <w:jc w:val="center"/>
              <w:rPr>
                <w:rFonts w:ascii="宋体" w:eastAsia="宋体"/>
                <w:snapToGrid w:val="0"/>
                <w:kern w:val="0"/>
              </w:rPr>
            </w:pPr>
          </w:p>
        </w:tc>
        <w:tc>
          <w:tcPr>
            <w:tcW w:w="840" w:type="dxa"/>
            <w:vAlign w:val="center"/>
          </w:tcPr>
          <w:p w14:paraId="364D655F">
            <w:pPr>
              <w:adjustRightInd w:val="0"/>
              <w:snapToGrid w:val="0"/>
              <w:spacing w:line="300" w:lineRule="auto"/>
              <w:jc w:val="center"/>
              <w:rPr>
                <w:rFonts w:ascii="宋体" w:eastAsia="宋体"/>
                <w:snapToGrid w:val="0"/>
                <w:kern w:val="0"/>
              </w:rPr>
            </w:pPr>
          </w:p>
        </w:tc>
        <w:tc>
          <w:tcPr>
            <w:tcW w:w="1059" w:type="dxa"/>
            <w:vAlign w:val="center"/>
          </w:tcPr>
          <w:p w14:paraId="209B65ED">
            <w:pPr>
              <w:adjustRightInd w:val="0"/>
              <w:snapToGrid w:val="0"/>
              <w:spacing w:line="300" w:lineRule="auto"/>
              <w:jc w:val="center"/>
              <w:rPr>
                <w:rFonts w:ascii="宋体" w:eastAsia="宋体"/>
                <w:snapToGrid w:val="0"/>
                <w:kern w:val="0"/>
              </w:rPr>
            </w:pPr>
          </w:p>
        </w:tc>
        <w:tc>
          <w:tcPr>
            <w:tcW w:w="992" w:type="dxa"/>
            <w:vAlign w:val="center"/>
          </w:tcPr>
          <w:p w14:paraId="5DBA04AC">
            <w:pPr>
              <w:adjustRightInd w:val="0"/>
              <w:snapToGrid w:val="0"/>
              <w:spacing w:line="300" w:lineRule="auto"/>
              <w:jc w:val="center"/>
              <w:rPr>
                <w:rFonts w:ascii="宋体" w:eastAsia="宋体"/>
                <w:snapToGrid w:val="0"/>
                <w:kern w:val="0"/>
              </w:rPr>
            </w:pPr>
          </w:p>
        </w:tc>
        <w:tc>
          <w:tcPr>
            <w:tcW w:w="651" w:type="dxa"/>
            <w:vAlign w:val="center"/>
          </w:tcPr>
          <w:p w14:paraId="7F4BDA6D">
            <w:pPr>
              <w:adjustRightInd w:val="0"/>
              <w:snapToGrid w:val="0"/>
              <w:spacing w:line="300" w:lineRule="auto"/>
              <w:jc w:val="center"/>
              <w:rPr>
                <w:rFonts w:ascii="宋体" w:eastAsia="宋体"/>
                <w:snapToGrid w:val="0"/>
                <w:kern w:val="0"/>
              </w:rPr>
            </w:pPr>
          </w:p>
        </w:tc>
        <w:tc>
          <w:tcPr>
            <w:tcW w:w="725" w:type="dxa"/>
            <w:vAlign w:val="center"/>
          </w:tcPr>
          <w:p w14:paraId="58EDE637">
            <w:pPr>
              <w:adjustRightInd w:val="0"/>
              <w:snapToGrid w:val="0"/>
              <w:spacing w:line="300" w:lineRule="auto"/>
              <w:jc w:val="center"/>
              <w:rPr>
                <w:rFonts w:ascii="宋体" w:eastAsia="宋体"/>
                <w:snapToGrid w:val="0"/>
                <w:kern w:val="0"/>
              </w:rPr>
            </w:pPr>
          </w:p>
        </w:tc>
        <w:tc>
          <w:tcPr>
            <w:tcW w:w="709" w:type="dxa"/>
            <w:vAlign w:val="center"/>
          </w:tcPr>
          <w:p w14:paraId="30C9C41F">
            <w:pPr>
              <w:adjustRightInd w:val="0"/>
              <w:snapToGrid w:val="0"/>
              <w:spacing w:line="300" w:lineRule="auto"/>
              <w:jc w:val="center"/>
              <w:rPr>
                <w:rFonts w:ascii="宋体" w:eastAsia="宋体"/>
                <w:snapToGrid w:val="0"/>
                <w:kern w:val="0"/>
              </w:rPr>
            </w:pPr>
          </w:p>
        </w:tc>
        <w:tc>
          <w:tcPr>
            <w:tcW w:w="773" w:type="dxa"/>
          </w:tcPr>
          <w:p w14:paraId="3B5A1E90">
            <w:pPr>
              <w:adjustRightInd w:val="0"/>
              <w:snapToGrid w:val="0"/>
              <w:spacing w:line="300" w:lineRule="auto"/>
              <w:jc w:val="center"/>
              <w:rPr>
                <w:rFonts w:ascii="宋体" w:eastAsia="宋体"/>
                <w:snapToGrid w:val="0"/>
                <w:kern w:val="0"/>
              </w:rPr>
            </w:pPr>
          </w:p>
        </w:tc>
        <w:tc>
          <w:tcPr>
            <w:tcW w:w="980" w:type="dxa"/>
          </w:tcPr>
          <w:p w14:paraId="70AB7F9C">
            <w:pPr>
              <w:adjustRightInd w:val="0"/>
              <w:snapToGrid w:val="0"/>
              <w:spacing w:line="300" w:lineRule="auto"/>
              <w:jc w:val="center"/>
              <w:rPr>
                <w:rFonts w:ascii="宋体" w:eastAsia="宋体"/>
                <w:snapToGrid w:val="0"/>
                <w:kern w:val="0"/>
              </w:rPr>
            </w:pPr>
          </w:p>
        </w:tc>
        <w:tc>
          <w:tcPr>
            <w:tcW w:w="657" w:type="dxa"/>
          </w:tcPr>
          <w:p w14:paraId="2D8AA905">
            <w:pPr>
              <w:adjustRightInd w:val="0"/>
              <w:snapToGrid w:val="0"/>
              <w:spacing w:line="300" w:lineRule="auto"/>
              <w:jc w:val="center"/>
              <w:rPr>
                <w:rFonts w:ascii="宋体" w:eastAsia="宋体"/>
                <w:snapToGrid w:val="0"/>
                <w:kern w:val="0"/>
              </w:rPr>
            </w:pPr>
          </w:p>
        </w:tc>
        <w:tc>
          <w:tcPr>
            <w:tcW w:w="657" w:type="dxa"/>
          </w:tcPr>
          <w:p w14:paraId="02B30A31">
            <w:pPr>
              <w:adjustRightInd w:val="0"/>
              <w:snapToGrid w:val="0"/>
              <w:spacing w:line="300" w:lineRule="auto"/>
              <w:jc w:val="center"/>
              <w:rPr>
                <w:rFonts w:ascii="宋体" w:eastAsia="宋体"/>
                <w:snapToGrid w:val="0"/>
                <w:kern w:val="0"/>
              </w:rPr>
            </w:pPr>
          </w:p>
        </w:tc>
      </w:tr>
      <w:tr w14:paraId="4C68D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0C3A6273">
            <w:pPr>
              <w:jc w:val="center"/>
              <w:rPr>
                <w:rFonts w:ascii="宋体" w:eastAsia="宋体" w:cs="仿宋"/>
                <w:szCs w:val="21"/>
              </w:rPr>
            </w:pPr>
            <w:r>
              <w:rPr>
                <w:rFonts w:hint="eastAsia" w:ascii="宋体" w:eastAsia="宋体" w:cs="仿宋"/>
                <w:szCs w:val="21"/>
              </w:rPr>
              <w:t>3</w:t>
            </w:r>
          </w:p>
        </w:tc>
        <w:tc>
          <w:tcPr>
            <w:tcW w:w="1384" w:type="dxa"/>
            <w:vAlign w:val="center"/>
          </w:tcPr>
          <w:p w14:paraId="4ECF39BA">
            <w:pPr>
              <w:widowControl/>
              <w:spacing w:line="360" w:lineRule="auto"/>
              <w:jc w:val="center"/>
              <w:rPr>
                <w:rFonts w:ascii="宋体" w:eastAsia="宋体" w:cs="宋体"/>
                <w:kern w:val="0"/>
                <w:szCs w:val="21"/>
              </w:rPr>
            </w:pPr>
          </w:p>
        </w:tc>
        <w:tc>
          <w:tcPr>
            <w:tcW w:w="810" w:type="dxa"/>
            <w:vAlign w:val="center"/>
          </w:tcPr>
          <w:p w14:paraId="433C113E">
            <w:pPr>
              <w:adjustRightInd w:val="0"/>
              <w:snapToGrid w:val="0"/>
              <w:spacing w:line="300" w:lineRule="auto"/>
              <w:jc w:val="center"/>
              <w:rPr>
                <w:rFonts w:ascii="宋体" w:eastAsia="宋体"/>
                <w:snapToGrid w:val="0"/>
                <w:kern w:val="0"/>
              </w:rPr>
            </w:pPr>
          </w:p>
        </w:tc>
        <w:tc>
          <w:tcPr>
            <w:tcW w:w="840" w:type="dxa"/>
            <w:vAlign w:val="center"/>
          </w:tcPr>
          <w:p w14:paraId="44967CEE">
            <w:pPr>
              <w:adjustRightInd w:val="0"/>
              <w:snapToGrid w:val="0"/>
              <w:spacing w:line="300" w:lineRule="auto"/>
              <w:jc w:val="center"/>
              <w:rPr>
                <w:rFonts w:ascii="宋体" w:eastAsia="宋体"/>
                <w:snapToGrid w:val="0"/>
                <w:kern w:val="0"/>
              </w:rPr>
            </w:pPr>
          </w:p>
        </w:tc>
        <w:tc>
          <w:tcPr>
            <w:tcW w:w="1059" w:type="dxa"/>
            <w:vAlign w:val="center"/>
          </w:tcPr>
          <w:p w14:paraId="3E230D51">
            <w:pPr>
              <w:adjustRightInd w:val="0"/>
              <w:snapToGrid w:val="0"/>
              <w:spacing w:line="300" w:lineRule="auto"/>
              <w:jc w:val="center"/>
              <w:rPr>
                <w:rFonts w:ascii="宋体" w:eastAsia="宋体"/>
                <w:snapToGrid w:val="0"/>
                <w:kern w:val="0"/>
              </w:rPr>
            </w:pPr>
          </w:p>
        </w:tc>
        <w:tc>
          <w:tcPr>
            <w:tcW w:w="992" w:type="dxa"/>
            <w:vAlign w:val="center"/>
          </w:tcPr>
          <w:p w14:paraId="68CD89A2">
            <w:pPr>
              <w:adjustRightInd w:val="0"/>
              <w:snapToGrid w:val="0"/>
              <w:spacing w:line="300" w:lineRule="auto"/>
              <w:jc w:val="center"/>
              <w:rPr>
                <w:rFonts w:ascii="宋体" w:eastAsia="宋体"/>
                <w:snapToGrid w:val="0"/>
                <w:kern w:val="0"/>
              </w:rPr>
            </w:pPr>
          </w:p>
        </w:tc>
        <w:tc>
          <w:tcPr>
            <w:tcW w:w="651" w:type="dxa"/>
            <w:vAlign w:val="center"/>
          </w:tcPr>
          <w:p w14:paraId="623C52D7">
            <w:pPr>
              <w:adjustRightInd w:val="0"/>
              <w:snapToGrid w:val="0"/>
              <w:spacing w:line="300" w:lineRule="auto"/>
              <w:jc w:val="center"/>
              <w:rPr>
                <w:rFonts w:ascii="宋体" w:eastAsia="宋体"/>
                <w:snapToGrid w:val="0"/>
                <w:kern w:val="0"/>
              </w:rPr>
            </w:pPr>
          </w:p>
        </w:tc>
        <w:tc>
          <w:tcPr>
            <w:tcW w:w="725" w:type="dxa"/>
            <w:vAlign w:val="center"/>
          </w:tcPr>
          <w:p w14:paraId="0A6DD636">
            <w:pPr>
              <w:adjustRightInd w:val="0"/>
              <w:snapToGrid w:val="0"/>
              <w:spacing w:line="300" w:lineRule="auto"/>
              <w:jc w:val="center"/>
              <w:rPr>
                <w:rFonts w:ascii="宋体" w:eastAsia="宋体"/>
                <w:snapToGrid w:val="0"/>
                <w:kern w:val="0"/>
              </w:rPr>
            </w:pPr>
          </w:p>
        </w:tc>
        <w:tc>
          <w:tcPr>
            <w:tcW w:w="709" w:type="dxa"/>
            <w:vAlign w:val="center"/>
          </w:tcPr>
          <w:p w14:paraId="79E61D02">
            <w:pPr>
              <w:adjustRightInd w:val="0"/>
              <w:snapToGrid w:val="0"/>
              <w:spacing w:line="300" w:lineRule="auto"/>
              <w:jc w:val="center"/>
              <w:rPr>
                <w:rFonts w:ascii="宋体" w:eastAsia="宋体"/>
                <w:snapToGrid w:val="0"/>
                <w:kern w:val="0"/>
              </w:rPr>
            </w:pPr>
          </w:p>
        </w:tc>
        <w:tc>
          <w:tcPr>
            <w:tcW w:w="773" w:type="dxa"/>
          </w:tcPr>
          <w:p w14:paraId="4FD48DA9">
            <w:pPr>
              <w:adjustRightInd w:val="0"/>
              <w:snapToGrid w:val="0"/>
              <w:spacing w:line="300" w:lineRule="auto"/>
              <w:jc w:val="center"/>
              <w:rPr>
                <w:rFonts w:ascii="宋体" w:eastAsia="宋体"/>
                <w:snapToGrid w:val="0"/>
                <w:kern w:val="0"/>
              </w:rPr>
            </w:pPr>
          </w:p>
        </w:tc>
        <w:tc>
          <w:tcPr>
            <w:tcW w:w="980" w:type="dxa"/>
          </w:tcPr>
          <w:p w14:paraId="4C16F60E">
            <w:pPr>
              <w:adjustRightInd w:val="0"/>
              <w:snapToGrid w:val="0"/>
              <w:spacing w:line="300" w:lineRule="auto"/>
              <w:jc w:val="center"/>
              <w:rPr>
                <w:rFonts w:ascii="宋体" w:eastAsia="宋体"/>
                <w:snapToGrid w:val="0"/>
                <w:kern w:val="0"/>
              </w:rPr>
            </w:pPr>
          </w:p>
        </w:tc>
        <w:tc>
          <w:tcPr>
            <w:tcW w:w="657" w:type="dxa"/>
          </w:tcPr>
          <w:p w14:paraId="3398136B">
            <w:pPr>
              <w:adjustRightInd w:val="0"/>
              <w:snapToGrid w:val="0"/>
              <w:spacing w:line="300" w:lineRule="auto"/>
              <w:jc w:val="center"/>
              <w:rPr>
                <w:rFonts w:ascii="宋体" w:eastAsia="宋体"/>
                <w:snapToGrid w:val="0"/>
                <w:kern w:val="0"/>
              </w:rPr>
            </w:pPr>
          </w:p>
        </w:tc>
        <w:tc>
          <w:tcPr>
            <w:tcW w:w="657" w:type="dxa"/>
          </w:tcPr>
          <w:p w14:paraId="509D0156">
            <w:pPr>
              <w:adjustRightInd w:val="0"/>
              <w:snapToGrid w:val="0"/>
              <w:spacing w:line="300" w:lineRule="auto"/>
              <w:jc w:val="center"/>
              <w:rPr>
                <w:rFonts w:ascii="宋体" w:eastAsia="宋体"/>
                <w:snapToGrid w:val="0"/>
                <w:kern w:val="0"/>
              </w:rPr>
            </w:pPr>
          </w:p>
        </w:tc>
      </w:tr>
      <w:tr w14:paraId="5B610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37E04D37">
            <w:pPr>
              <w:jc w:val="center"/>
              <w:rPr>
                <w:rFonts w:ascii="宋体" w:eastAsia="宋体" w:cs="仿宋"/>
                <w:szCs w:val="21"/>
              </w:rPr>
            </w:pPr>
            <w:r>
              <w:rPr>
                <w:rFonts w:hint="eastAsia" w:ascii="宋体" w:eastAsia="宋体" w:cs="仿宋"/>
                <w:szCs w:val="21"/>
              </w:rPr>
              <w:t>4</w:t>
            </w:r>
          </w:p>
        </w:tc>
        <w:tc>
          <w:tcPr>
            <w:tcW w:w="1384" w:type="dxa"/>
            <w:vAlign w:val="center"/>
          </w:tcPr>
          <w:p w14:paraId="7A62A386">
            <w:pPr>
              <w:widowControl/>
              <w:spacing w:line="360" w:lineRule="auto"/>
              <w:jc w:val="center"/>
              <w:rPr>
                <w:rFonts w:ascii="宋体" w:eastAsia="宋体" w:cs="宋体"/>
                <w:kern w:val="0"/>
                <w:szCs w:val="21"/>
              </w:rPr>
            </w:pPr>
          </w:p>
        </w:tc>
        <w:tc>
          <w:tcPr>
            <w:tcW w:w="810" w:type="dxa"/>
            <w:vAlign w:val="center"/>
          </w:tcPr>
          <w:p w14:paraId="16958469">
            <w:pPr>
              <w:adjustRightInd w:val="0"/>
              <w:snapToGrid w:val="0"/>
              <w:spacing w:line="300" w:lineRule="auto"/>
              <w:jc w:val="center"/>
              <w:rPr>
                <w:rFonts w:ascii="宋体" w:eastAsia="宋体"/>
                <w:snapToGrid w:val="0"/>
                <w:kern w:val="0"/>
              </w:rPr>
            </w:pPr>
          </w:p>
        </w:tc>
        <w:tc>
          <w:tcPr>
            <w:tcW w:w="840" w:type="dxa"/>
            <w:vAlign w:val="center"/>
          </w:tcPr>
          <w:p w14:paraId="434260E3">
            <w:pPr>
              <w:adjustRightInd w:val="0"/>
              <w:snapToGrid w:val="0"/>
              <w:spacing w:line="300" w:lineRule="auto"/>
              <w:jc w:val="center"/>
              <w:rPr>
                <w:rFonts w:ascii="宋体" w:eastAsia="宋体"/>
                <w:snapToGrid w:val="0"/>
                <w:kern w:val="0"/>
              </w:rPr>
            </w:pPr>
          </w:p>
        </w:tc>
        <w:tc>
          <w:tcPr>
            <w:tcW w:w="1059" w:type="dxa"/>
            <w:vAlign w:val="center"/>
          </w:tcPr>
          <w:p w14:paraId="34A68ACC">
            <w:pPr>
              <w:adjustRightInd w:val="0"/>
              <w:snapToGrid w:val="0"/>
              <w:spacing w:line="300" w:lineRule="auto"/>
              <w:jc w:val="center"/>
              <w:rPr>
                <w:rFonts w:ascii="宋体" w:eastAsia="宋体"/>
                <w:snapToGrid w:val="0"/>
                <w:kern w:val="0"/>
              </w:rPr>
            </w:pPr>
          </w:p>
        </w:tc>
        <w:tc>
          <w:tcPr>
            <w:tcW w:w="992" w:type="dxa"/>
            <w:vAlign w:val="center"/>
          </w:tcPr>
          <w:p w14:paraId="7F80C9F8">
            <w:pPr>
              <w:adjustRightInd w:val="0"/>
              <w:snapToGrid w:val="0"/>
              <w:spacing w:line="300" w:lineRule="auto"/>
              <w:jc w:val="center"/>
              <w:rPr>
                <w:rFonts w:ascii="宋体" w:eastAsia="宋体"/>
                <w:snapToGrid w:val="0"/>
                <w:kern w:val="0"/>
              </w:rPr>
            </w:pPr>
          </w:p>
        </w:tc>
        <w:tc>
          <w:tcPr>
            <w:tcW w:w="651" w:type="dxa"/>
            <w:vAlign w:val="center"/>
          </w:tcPr>
          <w:p w14:paraId="1C363C77">
            <w:pPr>
              <w:adjustRightInd w:val="0"/>
              <w:snapToGrid w:val="0"/>
              <w:spacing w:line="300" w:lineRule="auto"/>
              <w:jc w:val="center"/>
              <w:rPr>
                <w:rFonts w:ascii="宋体" w:eastAsia="宋体"/>
                <w:snapToGrid w:val="0"/>
                <w:kern w:val="0"/>
              </w:rPr>
            </w:pPr>
          </w:p>
        </w:tc>
        <w:tc>
          <w:tcPr>
            <w:tcW w:w="725" w:type="dxa"/>
            <w:vAlign w:val="center"/>
          </w:tcPr>
          <w:p w14:paraId="77B0ABDF">
            <w:pPr>
              <w:adjustRightInd w:val="0"/>
              <w:snapToGrid w:val="0"/>
              <w:spacing w:line="300" w:lineRule="auto"/>
              <w:jc w:val="center"/>
              <w:rPr>
                <w:rFonts w:ascii="宋体" w:eastAsia="宋体"/>
                <w:snapToGrid w:val="0"/>
                <w:kern w:val="0"/>
              </w:rPr>
            </w:pPr>
          </w:p>
        </w:tc>
        <w:tc>
          <w:tcPr>
            <w:tcW w:w="709" w:type="dxa"/>
            <w:vAlign w:val="center"/>
          </w:tcPr>
          <w:p w14:paraId="2D34A87A">
            <w:pPr>
              <w:adjustRightInd w:val="0"/>
              <w:snapToGrid w:val="0"/>
              <w:spacing w:line="300" w:lineRule="auto"/>
              <w:jc w:val="center"/>
              <w:rPr>
                <w:rFonts w:ascii="宋体" w:eastAsia="宋体"/>
                <w:snapToGrid w:val="0"/>
                <w:kern w:val="0"/>
              </w:rPr>
            </w:pPr>
          </w:p>
        </w:tc>
        <w:tc>
          <w:tcPr>
            <w:tcW w:w="773" w:type="dxa"/>
          </w:tcPr>
          <w:p w14:paraId="1618F641">
            <w:pPr>
              <w:adjustRightInd w:val="0"/>
              <w:snapToGrid w:val="0"/>
              <w:spacing w:line="300" w:lineRule="auto"/>
              <w:jc w:val="center"/>
              <w:rPr>
                <w:rFonts w:ascii="宋体" w:eastAsia="宋体"/>
                <w:snapToGrid w:val="0"/>
                <w:kern w:val="0"/>
              </w:rPr>
            </w:pPr>
          </w:p>
        </w:tc>
        <w:tc>
          <w:tcPr>
            <w:tcW w:w="980" w:type="dxa"/>
          </w:tcPr>
          <w:p w14:paraId="23871149">
            <w:pPr>
              <w:adjustRightInd w:val="0"/>
              <w:snapToGrid w:val="0"/>
              <w:spacing w:line="300" w:lineRule="auto"/>
              <w:jc w:val="center"/>
              <w:rPr>
                <w:rFonts w:ascii="宋体" w:eastAsia="宋体"/>
                <w:snapToGrid w:val="0"/>
                <w:kern w:val="0"/>
              </w:rPr>
            </w:pPr>
          </w:p>
        </w:tc>
        <w:tc>
          <w:tcPr>
            <w:tcW w:w="657" w:type="dxa"/>
          </w:tcPr>
          <w:p w14:paraId="0D91DEFB">
            <w:pPr>
              <w:adjustRightInd w:val="0"/>
              <w:snapToGrid w:val="0"/>
              <w:spacing w:line="300" w:lineRule="auto"/>
              <w:jc w:val="center"/>
              <w:rPr>
                <w:rFonts w:ascii="宋体" w:eastAsia="宋体"/>
                <w:snapToGrid w:val="0"/>
                <w:kern w:val="0"/>
              </w:rPr>
            </w:pPr>
          </w:p>
        </w:tc>
        <w:tc>
          <w:tcPr>
            <w:tcW w:w="657" w:type="dxa"/>
          </w:tcPr>
          <w:p w14:paraId="363CAC83">
            <w:pPr>
              <w:adjustRightInd w:val="0"/>
              <w:snapToGrid w:val="0"/>
              <w:spacing w:line="300" w:lineRule="auto"/>
              <w:jc w:val="center"/>
              <w:rPr>
                <w:rFonts w:ascii="宋体" w:eastAsia="宋体"/>
                <w:snapToGrid w:val="0"/>
                <w:kern w:val="0"/>
              </w:rPr>
            </w:pPr>
          </w:p>
        </w:tc>
      </w:tr>
      <w:tr w14:paraId="1E303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35D4E5F6">
            <w:pPr>
              <w:jc w:val="center"/>
              <w:rPr>
                <w:rFonts w:ascii="宋体" w:eastAsia="宋体" w:cs="仿宋"/>
                <w:szCs w:val="21"/>
              </w:rPr>
            </w:pPr>
            <w:r>
              <w:rPr>
                <w:rFonts w:hint="eastAsia" w:ascii="宋体" w:eastAsia="宋体" w:cs="仿宋"/>
                <w:szCs w:val="21"/>
              </w:rPr>
              <w:t>5</w:t>
            </w:r>
          </w:p>
        </w:tc>
        <w:tc>
          <w:tcPr>
            <w:tcW w:w="1384" w:type="dxa"/>
            <w:vAlign w:val="center"/>
          </w:tcPr>
          <w:p w14:paraId="66A23DEF">
            <w:pPr>
              <w:widowControl/>
              <w:spacing w:line="360" w:lineRule="auto"/>
              <w:jc w:val="center"/>
              <w:rPr>
                <w:rFonts w:ascii="宋体" w:eastAsia="宋体" w:cs="宋体"/>
                <w:kern w:val="0"/>
                <w:szCs w:val="21"/>
              </w:rPr>
            </w:pPr>
          </w:p>
        </w:tc>
        <w:tc>
          <w:tcPr>
            <w:tcW w:w="810" w:type="dxa"/>
            <w:vAlign w:val="center"/>
          </w:tcPr>
          <w:p w14:paraId="4F02CB86">
            <w:pPr>
              <w:adjustRightInd w:val="0"/>
              <w:snapToGrid w:val="0"/>
              <w:spacing w:line="300" w:lineRule="auto"/>
              <w:jc w:val="center"/>
              <w:rPr>
                <w:rFonts w:ascii="宋体" w:eastAsia="宋体"/>
                <w:snapToGrid w:val="0"/>
                <w:kern w:val="0"/>
              </w:rPr>
            </w:pPr>
          </w:p>
        </w:tc>
        <w:tc>
          <w:tcPr>
            <w:tcW w:w="840" w:type="dxa"/>
            <w:vAlign w:val="center"/>
          </w:tcPr>
          <w:p w14:paraId="61E5D889">
            <w:pPr>
              <w:adjustRightInd w:val="0"/>
              <w:snapToGrid w:val="0"/>
              <w:spacing w:line="300" w:lineRule="auto"/>
              <w:jc w:val="center"/>
              <w:rPr>
                <w:rFonts w:ascii="宋体" w:eastAsia="宋体"/>
                <w:snapToGrid w:val="0"/>
                <w:kern w:val="0"/>
              </w:rPr>
            </w:pPr>
          </w:p>
        </w:tc>
        <w:tc>
          <w:tcPr>
            <w:tcW w:w="1059" w:type="dxa"/>
            <w:vAlign w:val="center"/>
          </w:tcPr>
          <w:p w14:paraId="00BBEED7">
            <w:pPr>
              <w:adjustRightInd w:val="0"/>
              <w:snapToGrid w:val="0"/>
              <w:spacing w:line="300" w:lineRule="auto"/>
              <w:jc w:val="center"/>
              <w:rPr>
                <w:rFonts w:ascii="宋体" w:eastAsia="宋体"/>
                <w:snapToGrid w:val="0"/>
                <w:kern w:val="0"/>
              </w:rPr>
            </w:pPr>
          </w:p>
        </w:tc>
        <w:tc>
          <w:tcPr>
            <w:tcW w:w="992" w:type="dxa"/>
            <w:vAlign w:val="center"/>
          </w:tcPr>
          <w:p w14:paraId="54FF74EB">
            <w:pPr>
              <w:adjustRightInd w:val="0"/>
              <w:snapToGrid w:val="0"/>
              <w:spacing w:line="300" w:lineRule="auto"/>
              <w:jc w:val="center"/>
              <w:rPr>
                <w:rFonts w:ascii="宋体" w:eastAsia="宋体"/>
                <w:snapToGrid w:val="0"/>
                <w:kern w:val="0"/>
              </w:rPr>
            </w:pPr>
          </w:p>
        </w:tc>
        <w:tc>
          <w:tcPr>
            <w:tcW w:w="651" w:type="dxa"/>
            <w:vAlign w:val="center"/>
          </w:tcPr>
          <w:p w14:paraId="3A0E9C25">
            <w:pPr>
              <w:adjustRightInd w:val="0"/>
              <w:snapToGrid w:val="0"/>
              <w:spacing w:line="300" w:lineRule="auto"/>
              <w:jc w:val="center"/>
              <w:rPr>
                <w:rFonts w:ascii="宋体" w:eastAsia="宋体"/>
                <w:snapToGrid w:val="0"/>
                <w:kern w:val="0"/>
              </w:rPr>
            </w:pPr>
          </w:p>
        </w:tc>
        <w:tc>
          <w:tcPr>
            <w:tcW w:w="725" w:type="dxa"/>
            <w:vAlign w:val="center"/>
          </w:tcPr>
          <w:p w14:paraId="2AED9EC0">
            <w:pPr>
              <w:adjustRightInd w:val="0"/>
              <w:snapToGrid w:val="0"/>
              <w:spacing w:line="300" w:lineRule="auto"/>
              <w:jc w:val="center"/>
              <w:rPr>
                <w:rFonts w:ascii="宋体" w:eastAsia="宋体"/>
                <w:snapToGrid w:val="0"/>
                <w:kern w:val="0"/>
              </w:rPr>
            </w:pPr>
          </w:p>
        </w:tc>
        <w:tc>
          <w:tcPr>
            <w:tcW w:w="709" w:type="dxa"/>
            <w:vAlign w:val="center"/>
          </w:tcPr>
          <w:p w14:paraId="4254366A">
            <w:pPr>
              <w:adjustRightInd w:val="0"/>
              <w:snapToGrid w:val="0"/>
              <w:spacing w:line="300" w:lineRule="auto"/>
              <w:jc w:val="center"/>
              <w:rPr>
                <w:rFonts w:ascii="宋体" w:eastAsia="宋体"/>
                <w:snapToGrid w:val="0"/>
                <w:kern w:val="0"/>
              </w:rPr>
            </w:pPr>
          </w:p>
        </w:tc>
        <w:tc>
          <w:tcPr>
            <w:tcW w:w="773" w:type="dxa"/>
          </w:tcPr>
          <w:p w14:paraId="3101970A">
            <w:pPr>
              <w:adjustRightInd w:val="0"/>
              <w:snapToGrid w:val="0"/>
              <w:spacing w:line="300" w:lineRule="auto"/>
              <w:jc w:val="center"/>
              <w:rPr>
                <w:rFonts w:ascii="宋体" w:eastAsia="宋体"/>
                <w:snapToGrid w:val="0"/>
                <w:kern w:val="0"/>
              </w:rPr>
            </w:pPr>
          </w:p>
        </w:tc>
        <w:tc>
          <w:tcPr>
            <w:tcW w:w="980" w:type="dxa"/>
          </w:tcPr>
          <w:p w14:paraId="59B400CA">
            <w:pPr>
              <w:adjustRightInd w:val="0"/>
              <w:snapToGrid w:val="0"/>
              <w:spacing w:line="300" w:lineRule="auto"/>
              <w:jc w:val="center"/>
              <w:rPr>
                <w:rFonts w:ascii="宋体" w:eastAsia="宋体"/>
                <w:snapToGrid w:val="0"/>
                <w:kern w:val="0"/>
              </w:rPr>
            </w:pPr>
          </w:p>
        </w:tc>
        <w:tc>
          <w:tcPr>
            <w:tcW w:w="657" w:type="dxa"/>
          </w:tcPr>
          <w:p w14:paraId="79C49B5C">
            <w:pPr>
              <w:adjustRightInd w:val="0"/>
              <w:snapToGrid w:val="0"/>
              <w:spacing w:line="300" w:lineRule="auto"/>
              <w:jc w:val="center"/>
              <w:rPr>
                <w:rFonts w:ascii="宋体" w:eastAsia="宋体"/>
                <w:snapToGrid w:val="0"/>
                <w:kern w:val="0"/>
              </w:rPr>
            </w:pPr>
          </w:p>
        </w:tc>
        <w:tc>
          <w:tcPr>
            <w:tcW w:w="657" w:type="dxa"/>
          </w:tcPr>
          <w:p w14:paraId="4129A838">
            <w:pPr>
              <w:adjustRightInd w:val="0"/>
              <w:snapToGrid w:val="0"/>
              <w:spacing w:line="300" w:lineRule="auto"/>
              <w:jc w:val="center"/>
              <w:rPr>
                <w:rFonts w:ascii="宋体" w:eastAsia="宋体"/>
                <w:snapToGrid w:val="0"/>
                <w:kern w:val="0"/>
              </w:rPr>
            </w:pPr>
          </w:p>
        </w:tc>
      </w:tr>
      <w:tr w14:paraId="6CCAA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762" w:type="dxa"/>
            <w:gridSpan w:val="13"/>
            <w:vAlign w:val="center"/>
          </w:tcPr>
          <w:p w14:paraId="1A4158C6">
            <w:pPr>
              <w:rPr>
                <w:rFonts w:ascii="宋体" w:eastAsia="宋体"/>
                <w:snapToGrid w:val="0"/>
                <w:kern w:val="0"/>
              </w:rPr>
            </w:pPr>
            <w:r>
              <w:rPr>
                <w:rFonts w:hint="eastAsia" w:ascii="宋体" w:eastAsia="宋体"/>
                <w:sz w:val="24"/>
              </w:rPr>
              <w:t>总计（即投标总价；币种：人民币；单位：元）</w:t>
            </w:r>
            <w:r>
              <w:rPr>
                <w:rFonts w:hint="eastAsia" w:ascii="宋体" w:eastAsia="宋体"/>
                <w:sz w:val="24"/>
                <w:lang w:eastAsia="zh-CN"/>
              </w:rPr>
              <w:t>：</w:t>
            </w:r>
          </w:p>
        </w:tc>
      </w:tr>
    </w:tbl>
    <w:p w14:paraId="7F2B3816">
      <w:pPr>
        <w:pStyle w:val="5"/>
        <w:rPr>
          <w:rFonts w:hint="eastAsia"/>
          <w:b/>
          <w:sz w:val="24"/>
        </w:rPr>
      </w:pPr>
    </w:p>
    <w:p w14:paraId="2128051E">
      <w:pPr>
        <w:spacing w:line="360" w:lineRule="auto"/>
        <w:rPr>
          <w:rFonts w:ascii="宋体"/>
          <w:szCs w:val="21"/>
        </w:rPr>
      </w:pPr>
      <w:r>
        <w:rPr>
          <w:rFonts w:hint="eastAsia" w:ascii="宋体"/>
          <w:szCs w:val="21"/>
        </w:rPr>
        <w:t xml:space="preserve">注：1. 请根据“第二章 招标项目需求” </w:t>
      </w:r>
      <w:r>
        <w:rPr>
          <w:rFonts w:hint="eastAsia" w:ascii="宋体" w:eastAsia="宋体"/>
          <w:b/>
          <w:szCs w:val="21"/>
          <w:highlight w:val="yellow"/>
        </w:rPr>
        <w:t>“二、货物清单”中的“（二）货物清单明细”</w:t>
      </w:r>
      <w:r>
        <w:rPr>
          <w:rFonts w:hint="eastAsia" w:ascii="宋体"/>
          <w:szCs w:val="21"/>
        </w:rPr>
        <w:t>填写；本表格式不得修改。</w:t>
      </w:r>
    </w:p>
    <w:p w14:paraId="1BA9E8B6">
      <w:pPr>
        <w:spacing w:line="360" w:lineRule="auto"/>
        <w:rPr>
          <w:rFonts w:ascii="宋体"/>
          <w:szCs w:val="21"/>
        </w:rPr>
      </w:pPr>
      <w:r>
        <w:rPr>
          <w:rFonts w:ascii="宋体"/>
          <w:szCs w:val="21"/>
        </w:rPr>
        <w:t xml:space="preserve">    2</w:t>
      </w:r>
      <w:r>
        <w:rPr>
          <w:rFonts w:hint="eastAsia" w:ascii="宋体"/>
          <w:szCs w:val="21"/>
        </w:rPr>
        <w:t>. 所有价格应按“招标文件”中规定的货币单位填写；投标总价应为以上各分项价格之和；投标总价和项目报价表中单个采购预算条目报价均不得超过对应的财政预算限额，否则将导致无效投标。</w:t>
      </w:r>
    </w:p>
    <w:p w14:paraId="00028637">
      <w:pPr>
        <w:spacing w:line="360" w:lineRule="auto"/>
        <w:ind w:firstLine="420" w:firstLineChars="200"/>
        <w:rPr>
          <w:rFonts w:ascii="宋体"/>
          <w:szCs w:val="21"/>
        </w:rPr>
      </w:pPr>
      <w:r>
        <w:rPr>
          <w:rFonts w:hint="eastAsia" w:ascii="宋体"/>
          <w:szCs w:val="21"/>
        </w:rPr>
        <w:t>3.</w:t>
      </w:r>
      <w:r>
        <w:rPr>
          <w:rFonts w:ascii="宋体"/>
          <w:szCs w:val="21"/>
        </w:rPr>
        <w:t xml:space="preserve"> </w:t>
      </w:r>
      <w:r>
        <w:rPr>
          <w:rFonts w:hint="eastAsia" w:ascii="宋体"/>
          <w:szCs w:val="21"/>
        </w:rPr>
        <w:t>单价、合价和投标总价为包干价，即三者均应包含设备的价款、包装、运输、装卸、安装、调试、技术指导、培训、咨询、服务、保险、税费、检测、验收合格交付使用之前以及技术和售后服务等其他各项有关费用。</w:t>
      </w:r>
    </w:p>
    <w:p w14:paraId="01123BC2">
      <w:pPr>
        <w:spacing w:line="360" w:lineRule="auto"/>
        <w:ind w:firstLine="420" w:firstLineChars="200"/>
        <w:rPr>
          <w:rFonts w:ascii="宋体"/>
          <w:szCs w:val="21"/>
        </w:rPr>
      </w:pPr>
      <w:r>
        <w:rPr>
          <w:rFonts w:hint="eastAsia" w:ascii="宋体"/>
          <w:szCs w:val="21"/>
        </w:rPr>
        <w:t>4.</w:t>
      </w:r>
      <w:r>
        <w:rPr>
          <w:rFonts w:ascii="宋体"/>
          <w:szCs w:val="21"/>
        </w:rPr>
        <w:t xml:space="preserve"> </w:t>
      </w:r>
      <w:r>
        <w:rPr>
          <w:rFonts w:hint="eastAsia" w:ascii="宋体"/>
          <w:szCs w:val="21"/>
        </w:rPr>
        <w:t>开标一览表的投标总价必须与项目报价表的投标总价一致。</w:t>
      </w:r>
    </w:p>
    <w:p w14:paraId="3E00741C">
      <w:pPr>
        <w:spacing w:line="360" w:lineRule="auto"/>
        <w:ind w:firstLine="411" w:firstLineChars="196"/>
        <w:rPr>
          <w:rFonts w:ascii="宋体"/>
          <w:szCs w:val="21"/>
        </w:rPr>
      </w:pPr>
      <w:r>
        <w:rPr>
          <w:rFonts w:hint="eastAsia" w:ascii="宋体"/>
          <w:szCs w:val="21"/>
        </w:rPr>
        <w:t>5.</w:t>
      </w:r>
      <w:r>
        <w:rPr>
          <w:rFonts w:ascii="宋体"/>
          <w:szCs w:val="21"/>
        </w:rPr>
        <w:t xml:space="preserve"> </w:t>
      </w:r>
      <w:r>
        <w:rPr>
          <w:rFonts w:hint="eastAsia"/>
        </w:rPr>
        <w:t>“原产地”是指货物的实际生产加工地，非品牌所在地；“制造商”是指产品品牌厂商，同一品牌国内外均有制造商的，应填写国内制造商；产品代工制造的，应填写接受委托生产制造的制造商等</w:t>
      </w:r>
      <w:r>
        <w:rPr>
          <w:rFonts w:hint="eastAsia" w:ascii="宋体"/>
          <w:szCs w:val="21"/>
        </w:rPr>
        <w:t>。</w:t>
      </w:r>
    </w:p>
    <w:p w14:paraId="1A06C89A">
      <w:pPr>
        <w:spacing w:line="360" w:lineRule="auto"/>
        <w:ind w:firstLine="411" w:firstLineChars="196"/>
        <w:rPr>
          <w:rFonts w:ascii="宋体"/>
          <w:szCs w:val="21"/>
        </w:rPr>
      </w:pPr>
      <w:r>
        <w:rPr>
          <w:rFonts w:hint="eastAsia" w:ascii="宋体"/>
          <w:szCs w:val="21"/>
        </w:rPr>
        <w:t>6. 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14:paraId="1FC5578D">
      <w:pPr>
        <w:spacing w:line="360" w:lineRule="auto"/>
        <w:ind w:firstLine="411" w:firstLineChars="196"/>
        <w:rPr>
          <w:rFonts w:ascii="宋体"/>
          <w:szCs w:val="21"/>
        </w:rPr>
      </w:pPr>
      <w:r>
        <w:rPr>
          <w:rFonts w:hint="eastAsia" w:ascii="宋体"/>
          <w:szCs w:val="21"/>
        </w:rPr>
        <w:t>7.</w:t>
      </w:r>
      <w:r>
        <w:rPr>
          <w:rFonts w:hint="eastAsia"/>
          <w:szCs w:val="21"/>
        </w:rPr>
        <w:t xml:space="preserve"> </w:t>
      </w:r>
      <w:r>
        <w:rPr>
          <w:rFonts w:hint="eastAsia" w:ascii="宋体"/>
          <w:szCs w:val="21"/>
        </w:rPr>
        <w:t>如所投产品属于定制类的非量产货物，投标供应商无需填写规格/型号等信息，但必须注明“定制”，否则该产品技术参数按负偏离处理。</w:t>
      </w:r>
      <w:r>
        <w:rPr>
          <w:rFonts w:hint="eastAsia" w:ascii="宋体" w:eastAsia="宋体"/>
          <w:b/>
          <w:color w:val="FF0000"/>
        </w:rPr>
        <w:t>[单一产品或者非单一产品采购项目中的核心产品，必须填写品牌信息。]</w:t>
      </w:r>
    </w:p>
    <w:p w14:paraId="5011C370">
      <w:pPr>
        <w:spacing w:line="360" w:lineRule="auto"/>
        <w:ind w:firstLine="411" w:firstLineChars="196"/>
        <w:rPr>
          <w:rFonts w:hint="eastAsia" w:ascii="宋体" w:eastAsia="宋体"/>
          <w:bCs/>
          <w:kern w:val="0"/>
          <w:szCs w:val="21"/>
        </w:rPr>
      </w:pPr>
      <w:r>
        <w:rPr>
          <w:rFonts w:hint="eastAsia" w:ascii="宋体"/>
          <w:szCs w:val="21"/>
        </w:rPr>
        <w:t xml:space="preserve">8. </w:t>
      </w:r>
      <w:r>
        <w:rPr>
          <w:rFonts w:hint="eastAsia" w:ascii="宋体" w:eastAsia="宋体"/>
          <w:bCs/>
          <w:kern w:val="0"/>
          <w:szCs w:val="21"/>
        </w:rPr>
        <w:t>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CE57455">
      <w:pPr>
        <w:spacing w:line="360" w:lineRule="auto"/>
        <w:ind w:firstLine="411" w:firstLineChars="196"/>
        <w:rPr>
          <w:rFonts w:ascii="宋体"/>
          <w:b/>
          <w:sz w:val="24"/>
        </w:rPr>
      </w:pPr>
      <w:r>
        <w:rPr>
          <w:rFonts w:hint="eastAsia" w:ascii="宋体" w:eastAsia="宋体"/>
          <w:bCs/>
          <w:kern w:val="0"/>
          <w:szCs w:val="21"/>
          <w:lang w:val="en-US" w:eastAsia="zh-CN"/>
        </w:rPr>
        <w:t xml:space="preserve">9. </w:t>
      </w:r>
      <w:r>
        <w:rPr>
          <w:rFonts w:hint="eastAsia" w:ascii="宋体" w:eastAsia="宋体"/>
          <w:bCs/>
          <w:kern w:val="0"/>
          <w:szCs w:val="21"/>
        </w:rPr>
        <w:t>投标人在报价表中填写的货物名称、品牌、规格型号、制造厂商等信息与产品彩页或产品说明书或技术白皮书等证明材料不一致的，以证明材料相关信息为准</w:t>
      </w:r>
      <w:r>
        <w:rPr>
          <w:rFonts w:hint="eastAsia" w:ascii="宋体" w:eastAsia="宋体"/>
          <w:bCs/>
          <w:kern w:val="0"/>
          <w:szCs w:val="21"/>
          <w:lang w:eastAsia="zh-CN"/>
        </w:rPr>
        <w:t>。</w:t>
      </w:r>
      <w:r>
        <w:rPr>
          <w:rFonts w:hint="eastAsia" w:ascii="宋体" w:eastAsia="宋体"/>
          <w:bCs/>
          <w:kern w:val="0"/>
          <w:szCs w:val="21"/>
        </w:rPr>
        <w:t>投标人另行澄清更正的除外。</w:t>
      </w:r>
    </w:p>
    <w:p w14:paraId="67B229D3">
      <w:pPr>
        <w:ind w:firstLine="482" w:firstLineChars="200"/>
        <w:rPr>
          <w:b/>
          <w:bCs/>
          <w:sz w:val="24"/>
        </w:rPr>
      </w:pPr>
    </w:p>
    <w:p w14:paraId="22DE9099">
      <w:pPr>
        <w:ind w:firstLine="482" w:firstLineChars="200"/>
        <w:jc w:val="center"/>
        <w:rPr>
          <w:b/>
          <w:bCs/>
          <w:sz w:val="24"/>
        </w:rPr>
      </w:pPr>
    </w:p>
    <w:p w14:paraId="1EE91900">
      <w:pPr>
        <w:ind w:firstLine="482" w:firstLineChars="200"/>
        <w:jc w:val="center"/>
        <w:rPr>
          <w:b/>
          <w:bCs/>
          <w:sz w:val="24"/>
        </w:rPr>
      </w:pPr>
      <w:r>
        <w:rPr>
          <w:rFonts w:hint="eastAsia"/>
          <w:b/>
          <w:bCs/>
          <w:sz w:val="24"/>
        </w:rPr>
        <w:t>（二）可选配件报价清单（不包括在总报价内）</w:t>
      </w:r>
    </w:p>
    <w:p w14:paraId="4DD5F6D3">
      <w:pPr>
        <w:ind w:firstLine="422" w:firstLineChars="200"/>
        <w:rPr>
          <w:b/>
          <w:bCs/>
          <w:szCs w:val="21"/>
        </w:rPr>
      </w:pPr>
      <w:r>
        <w:rPr>
          <w:rFonts w:hint="eastAsia"/>
          <w:b/>
          <w:bCs/>
          <w:szCs w:val="21"/>
        </w:rPr>
        <w:t>注：格式参照《（一）分项报价表》表格，但须提供相应的品牌、规格型号、原产地、单价等详细信息</w:t>
      </w:r>
    </w:p>
    <w:p w14:paraId="5378863E">
      <w:pPr>
        <w:ind w:firstLine="482" w:firstLineChars="200"/>
        <w:rPr>
          <w:b/>
          <w:bCs/>
          <w:sz w:val="24"/>
        </w:rPr>
      </w:pPr>
    </w:p>
    <w:p w14:paraId="4CEB43EA">
      <w:pPr>
        <w:ind w:firstLine="482" w:firstLineChars="200"/>
        <w:rPr>
          <w:b/>
          <w:bCs/>
          <w:sz w:val="24"/>
        </w:rPr>
      </w:pPr>
    </w:p>
    <w:p w14:paraId="1ABE9346">
      <w:pPr>
        <w:pStyle w:val="3"/>
        <w:jc w:val="center"/>
        <w:rPr>
          <w:sz w:val="24"/>
        </w:rPr>
      </w:pPr>
      <w:r>
        <w:rPr>
          <w:rFonts w:hint="eastAsia"/>
          <w:sz w:val="24"/>
        </w:rPr>
        <w:t>（三）供应商认为需要涉及的其他内容报价清单</w:t>
      </w:r>
    </w:p>
    <w:p w14:paraId="1A777DD3">
      <w:pPr>
        <w:pStyle w:val="3"/>
        <w:jc w:val="center"/>
        <w:rPr>
          <w:sz w:val="24"/>
        </w:rPr>
      </w:pPr>
    </w:p>
    <w:p w14:paraId="52CE9A4F">
      <w:pPr>
        <w:pStyle w:val="3"/>
        <w:jc w:val="center"/>
        <w:rPr>
          <w:rFonts w:ascii="黑体" w:eastAsia="黑体"/>
          <w:b w:val="0"/>
          <w:sz w:val="24"/>
          <w:szCs w:val="24"/>
        </w:rPr>
      </w:pPr>
      <w:r>
        <w:rPr>
          <w:rFonts w:hint="eastAsia" w:ascii="黑体" w:eastAsia="黑体"/>
          <w:b w:val="0"/>
          <w:sz w:val="24"/>
          <w:szCs w:val="24"/>
          <w:lang w:val="en-US" w:eastAsia="zh-CN"/>
        </w:rPr>
        <w:t>十二</w:t>
      </w:r>
      <w:r>
        <w:rPr>
          <w:rFonts w:hint="eastAsia" w:ascii="黑体" w:eastAsia="黑体"/>
          <w:b w:val="0"/>
          <w:sz w:val="24"/>
          <w:szCs w:val="24"/>
        </w:rPr>
        <w:t>、技术规格偏离表</w:t>
      </w:r>
    </w:p>
    <w:tbl>
      <w:tblPr>
        <w:tblStyle w:val="42"/>
        <w:tblW w:w="8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1798"/>
        <w:gridCol w:w="1356"/>
        <w:gridCol w:w="1356"/>
        <w:gridCol w:w="1484"/>
        <w:gridCol w:w="1530"/>
      </w:tblGrid>
      <w:tr w14:paraId="6AA03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 w:type="dxa"/>
            <w:vAlign w:val="center"/>
          </w:tcPr>
          <w:p w14:paraId="165918A1">
            <w:pPr>
              <w:jc w:val="center"/>
              <w:rPr>
                <w:sz w:val="24"/>
              </w:rPr>
            </w:pPr>
            <w:r>
              <w:rPr>
                <w:rFonts w:hint="eastAsia"/>
                <w:sz w:val="24"/>
              </w:rPr>
              <w:t>序号</w:t>
            </w:r>
          </w:p>
        </w:tc>
        <w:tc>
          <w:tcPr>
            <w:tcW w:w="1798" w:type="dxa"/>
            <w:vAlign w:val="center"/>
          </w:tcPr>
          <w:p w14:paraId="3DC1FEDB">
            <w:pPr>
              <w:jc w:val="center"/>
              <w:rPr>
                <w:sz w:val="24"/>
              </w:rPr>
            </w:pPr>
            <w:r>
              <w:rPr>
                <w:rFonts w:hint="eastAsia"/>
                <w:sz w:val="24"/>
              </w:rPr>
              <w:t>货物名称</w:t>
            </w:r>
          </w:p>
        </w:tc>
        <w:tc>
          <w:tcPr>
            <w:tcW w:w="1356" w:type="dxa"/>
            <w:vAlign w:val="center"/>
          </w:tcPr>
          <w:p w14:paraId="6C888542">
            <w:pPr>
              <w:jc w:val="center"/>
              <w:rPr>
                <w:sz w:val="24"/>
              </w:rPr>
            </w:pPr>
            <w:r>
              <w:rPr>
                <w:rFonts w:hint="eastAsia"/>
                <w:sz w:val="24"/>
              </w:rPr>
              <w:t>招标技术要求</w:t>
            </w:r>
          </w:p>
        </w:tc>
        <w:tc>
          <w:tcPr>
            <w:tcW w:w="1356" w:type="dxa"/>
            <w:vAlign w:val="center"/>
          </w:tcPr>
          <w:p w14:paraId="5899C8CB">
            <w:pPr>
              <w:jc w:val="center"/>
              <w:rPr>
                <w:sz w:val="24"/>
              </w:rPr>
            </w:pPr>
            <w:r>
              <w:rPr>
                <w:rFonts w:hint="eastAsia"/>
                <w:sz w:val="24"/>
              </w:rPr>
              <w:t>投标技术响应</w:t>
            </w:r>
          </w:p>
        </w:tc>
        <w:tc>
          <w:tcPr>
            <w:tcW w:w="1484" w:type="dxa"/>
            <w:vAlign w:val="center"/>
          </w:tcPr>
          <w:p w14:paraId="25C53B25">
            <w:pPr>
              <w:jc w:val="center"/>
              <w:rPr>
                <w:sz w:val="24"/>
              </w:rPr>
            </w:pPr>
            <w:r>
              <w:rPr>
                <w:rFonts w:hint="eastAsia"/>
                <w:sz w:val="24"/>
              </w:rPr>
              <w:t>偏离情况</w:t>
            </w:r>
          </w:p>
        </w:tc>
        <w:tc>
          <w:tcPr>
            <w:tcW w:w="1530" w:type="dxa"/>
            <w:vAlign w:val="center"/>
          </w:tcPr>
          <w:p w14:paraId="06BB49F8">
            <w:pPr>
              <w:jc w:val="center"/>
              <w:rPr>
                <w:sz w:val="24"/>
              </w:rPr>
            </w:pPr>
            <w:r>
              <w:rPr>
                <w:rFonts w:hint="eastAsia"/>
                <w:sz w:val="24"/>
              </w:rPr>
              <w:t>说明</w:t>
            </w:r>
          </w:p>
        </w:tc>
      </w:tr>
      <w:tr w14:paraId="5CBDB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 w:type="dxa"/>
          </w:tcPr>
          <w:p w14:paraId="577EDC3B">
            <w:pPr>
              <w:rPr>
                <w:sz w:val="24"/>
              </w:rPr>
            </w:pPr>
          </w:p>
        </w:tc>
        <w:tc>
          <w:tcPr>
            <w:tcW w:w="1798" w:type="dxa"/>
          </w:tcPr>
          <w:p w14:paraId="2AFFA834">
            <w:pPr>
              <w:rPr>
                <w:sz w:val="24"/>
              </w:rPr>
            </w:pPr>
          </w:p>
        </w:tc>
        <w:tc>
          <w:tcPr>
            <w:tcW w:w="1356" w:type="dxa"/>
          </w:tcPr>
          <w:p w14:paraId="4E5D592A">
            <w:pPr>
              <w:rPr>
                <w:sz w:val="24"/>
              </w:rPr>
            </w:pPr>
          </w:p>
        </w:tc>
        <w:tc>
          <w:tcPr>
            <w:tcW w:w="1356" w:type="dxa"/>
          </w:tcPr>
          <w:p w14:paraId="40B945EA">
            <w:pPr>
              <w:rPr>
                <w:sz w:val="24"/>
              </w:rPr>
            </w:pPr>
          </w:p>
        </w:tc>
        <w:tc>
          <w:tcPr>
            <w:tcW w:w="1484" w:type="dxa"/>
          </w:tcPr>
          <w:p w14:paraId="39D57645">
            <w:pPr>
              <w:rPr>
                <w:sz w:val="24"/>
              </w:rPr>
            </w:pPr>
          </w:p>
        </w:tc>
        <w:tc>
          <w:tcPr>
            <w:tcW w:w="1530" w:type="dxa"/>
          </w:tcPr>
          <w:p w14:paraId="22530250">
            <w:pPr>
              <w:rPr>
                <w:sz w:val="24"/>
              </w:rPr>
            </w:pPr>
            <w:r>
              <w:rPr>
                <w:rFonts w:hint="eastAsia"/>
                <w:szCs w:val="21"/>
              </w:rPr>
              <w:t>如需附证明文件，应在“说明”栏填写证明文件对应名称和页码。</w:t>
            </w:r>
          </w:p>
        </w:tc>
      </w:tr>
      <w:tr w14:paraId="6783D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 w:type="dxa"/>
          </w:tcPr>
          <w:p w14:paraId="0E99BC00">
            <w:pPr>
              <w:rPr>
                <w:sz w:val="24"/>
              </w:rPr>
            </w:pPr>
          </w:p>
        </w:tc>
        <w:tc>
          <w:tcPr>
            <w:tcW w:w="1798" w:type="dxa"/>
          </w:tcPr>
          <w:p w14:paraId="0C85B68E">
            <w:pPr>
              <w:rPr>
                <w:sz w:val="24"/>
              </w:rPr>
            </w:pPr>
          </w:p>
        </w:tc>
        <w:tc>
          <w:tcPr>
            <w:tcW w:w="1356" w:type="dxa"/>
          </w:tcPr>
          <w:p w14:paraId="0F30CC4F">
            <w:pPr>
              <w:rPr>
                <w:sz w:val="24"/>
              </w:rPr>
            </w:pPr>
          </w:p>
        </w:tc>
        <w:tc>
          <w:tcPr>
            <w:tcW w:w="1356" w:type="dxa"/>
          </w:tcPr>
          <w:p w14:paraId="516BA493">
            <w:pPr>
              <w:rPr>
                <w:sz w:val="24"/>
              </w:rPr>
            </w:pPr>
          </w:p>
        </w:tc>
        <w:tc>
          <w:tcPr>
            <w:tcW w:w="1484" w:type="dxa"/>
          </w:tcPr>
          <w:p w14:paraId="7D4C64DF">
            <w:pPr>
              <w:rPr>
                <w:sz w:val="24"/>
              </w:rPr>
            </w:pPr>
          </w:p>
        </w:tc>
        <w:tc>
          <w:tcPr>
            <w:tcW w:w="1530" w:type="dxa"/>
          </w:tcPr>
          <w:p w14:paraId="33CA5DBD">
            <w:pPr>
              <w:rPr>
                <w:sz w:val="24"/>
              </w:rPr>
            </w:pPr>
          </w:p>
        </w:tc>
      </w:tr>
      <w:tr w14:paraId="1688C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 w:type="dxa"/>
          </w:tcPr>
          <w:p w14:paraId="76472ECC">
            <w:pPr>
              <w:rPr>
                <w:sz w:val="24"/>
              </w:rPr>
            </w:pPr>
          </w:p>
        </w:tc>
        <w:tc>
          <w:tcPr>
            <w:tcW w:w="1798" w:type="dxa"/>
          </w:tcPr>
          <w:p w14:paraId="243CBD1B">
            <w:pPr>
              <w:rPr>
                <w:sz w:val="24"/>
              </w:rPr>
            </w:pPr>
          </w:p>
        </w:tc>
        <w:tc>
          <w:tcPr>
            <w:tcW w:w="1356" w:type="dxa"/>
          </w:tcPr>
          <w:p w14:paraId="03E95D4E">
            <w:pPr>
              <w:rPr>
                <w:sz w:val="24"/>
              </w:rPr>
            </w:pPr>
          </w:p>
        </w:tc>
        <w:tc>
          <w:tcPr>
            <w:tcW w:w="1356" w:type="dxa"/>
          </w:tcPr>
          <w:p w14:paraId="79BDB441">
            <w:pPr>
              <w:rPr>
                <w:sz w:val="24"/>
              </w:rPr>
            </w:pPr>
          </w:p>
        </w:tc>
        <w:tc>
          <w:tcPr>
            <w:tcW w:w="1484" w:type="dxa"/>
          </w:tcPr>
          <w:p w14:paraId="0ACF9609">
            <w:pPr>
              <w:rPr>
                <w:sz w:val="24"/>
              </w:rPr>
            </w:pPr>
          </w:p>
        </w:tc>
        <w:tc>
          <w:tcPr>
            <w:tcW w:w="1530" w:type="dxa"/>
          </w:tcPr>
          <w:p w14:paraId="0AA59555">
            <w:pPr>
              <w:rPr>
                <w:sz w:val="24"/>
              </w:rPr>
            </w:pPr>
          </w:p>
        </w:tc>
      </w:tr>
      <w:tr w14:paraId="3D09A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4" w:type="dxa"/>
          </w:tcPr>
          <w:p w14:paraId="1589FF1E">
            <w:pPr>
              <w:rPr>
                <w:sz w:val="24"/>
              </w:rPr>
            </w:pPr>
          </w:p>
        </w:tc>
        <w:tc>
          <w:tcPr>
            <w:tcW w:w="1798" w:type="dxa"/>
          </w:tcPr>
          <w:p w14:paraId="109B71FC">
            <w:pPr>
              <w:rPr>
                <w:sz w:val="24"/>
              </w:rPr>
            </w:pPr>
          </w:p>
        </w:tc>
        <w:tc>
          <w:tcPr>
            <w:tcW w:w="1356" w:type="dxa"/>
          </w:tcPr>
          <w:p w14:paraId="51DFF3FC">
            <w:pPr>
              <w:rPr>
                <w:sz w:val="24"/>
              </w:rPr>
            </w:pPr>
          </w:p>
        </w:tc>
        <w:tc>
          <w:tcPr>
            <w:tcW w:w="1356" w:type="dxa"/>
          </w:tcPr>
          <w:p w14:paraId="27275C0A">
            <w:pPr>
              <w:rPr>
                <w:sz w:val="24"/>
              </w:rPr>
            </w:pPr>
          </w:p>
        </w:tc>
        <w:tc>
          <w:tcPr>
            <w:tcW w:w="1484" w:type="dxa"/>
          </w:tcPr>
          <w:p w14:paraId="43B7DC05">
            <w:pPr>
              <w:rPr>
                <w:sz w:val="24"/>
              </w:rPr>
            </w:pPr>
          </w:p>
        </w:tc>
        <w:tc>
          <w:tcPr>
            <w:tcW w:w="1530" w:type="dxa"/>
          </w:tcPr>
          <w:p w14:paraId="5D1A6888">
            <w:pPr>
              <w:rPr>
                <w:sz w:val="24"/>
              </w:rPr>
            </w:pPr>
          </w:p>
        </w:tc>
      </w:tr>
    </w:tbl>
    <w:p w14:paraId="672F7EE7">
      <w:pPr>
        <w:spacing w:line="360" w:lineRule="auto"/>
        <w:rPr>
          <w:rFonts w:ascii="宋体" w:eastAsia="宋体"/>
          <w:szCs w:val="21"/>
        </w:rPr>
      </w:pPr>
      <w:r>
        <w:rPr>
          <w:rFonts w:hint="eastAsia" w:ascii="宋体" w:eastAsia="宋体"/>
          <w:szCs w:val="21"/>
        </w:rPr>
        <w:t>备注：</w:t>
      </w:r>
    </w:p>
    <w:p w14:paraId="082FD3C0">
      <w:pPr>
        <w:spacing w:line="360" w:lineRule="auto"/>
        <w:rPr>
          <w:rFonts w:ascii="宋体" w:eastAsia="宋体"/>
          <w:szCs w:val="21"/>
        </w:rPr>
      </w:pPr>
      <w:r>
        <w:rPr>
          <w:rFonts w:hint="eastAsia" w:ascii="宋体" w:eastAsia="宋体"/>
          <w:szCs w:val="21"/>
        </w:rPr>
        <w:t>1. “招标技术要求”一栏</w:t>
      </w:r>
      <w:r>
        <w:rPr>
          <w:rFonts w:ascii="宋体" w:eastAsia="宋体"/>
          <w:bCs/>
          <w:kern w:val="0"/>
          <w:szCs w:val="21"/>
        </w:rPr>
        <w:t>应</w:t>
      </w:r>
      <w:r>
        <w:rPr>
          <w:rFonts w:hint="eastAsia" w:ascii="宋体" w:eastAsia="宋体"/>
          <w:bCs/>
          <w:kern w:val="0"/>
          <w:szCs w:val="21"/>
        </w:rPr>
        <w:t>根据</w:t>
      </w:r>
      <w:r>
        <w:rPr>
          <w:rFonts w:hint="eastAsia" w:ascii="宋体" w:eastAsia="宋体"/>
          <w:b/>
          <w:szCs w:val="21"/>
          <w:highlight w:val="yellow"/>
        </w:rPr>
        <w:t>招标文件第二章“四、具体技术要求”</w:t>
      </w:r>
      <w:r>
        <w:rPr>
          <w:rFonts w:hint="eastAsia" w:ascii="宋体" w:eastAsia="宋体"/>
          <w:szCs w:val="21"/>
        </w:rPr>
        <w:t>的内容填写。</w:t>
      </w:r>
    </w:p>
    <w:p w14:paraId="7CD502B7">
      <w:pPr>
        <w:spacing w:line="360" w:lineRule="auto"/>
        <w:rPr>
          <w:rFonts w:ascii="宋体" w:eastAsia="宋体"/>
          <w:szCs w:val="21"/>
        </w:rPr>
      </w:pPr>
      <w:r>
        <w:rPr>
          <w:rFonts w:hint="eastAsia" w:ascii="宋体" w:eastAsia="宋体"/>
          <w:szCs w:val="21"/>
        </w:rPr>
        <w:t>2. “投标技术响应”一栏详细填写投标产品的具体参数，并应对照招标技术要求一一对应响应。</w:t>
      </w:r>
    </w:p>
    <w:p w14:paraId="34BDD249">
      <w:pPr>
        <w:spacing w:line="360" w:lineRule="auto"/>
        <w:rPr>
          <w:rFonts w:ascii="宋体" w:eastAsia="宋体"/>
          <w:szCs w:val="21"/>
        </w:rPr>
      </w:pPr>
      <w:r>
        <w:rPr>
          <w:rFonts w:hint="eastAsia" w:ascii="宋体" w:eastAsia="宋体"/>
          <w:szCs w:val="21"/>
        </w:rPr>
        <w:t>3. “偏离情况”一栏应如实填写“正偏离”、“负偏离”或“无偏离”。</w:t>
      </w:r>
    </w:p>
    <w:p w14:paraId="58D961F5">
      <w:pPr>
        <w:spacing w:line="360" w:lineRule="auto"/>
        <w:rPr>
          <w:rFonts w:ascii="宋体" w:eastAsia="宋体"/>
          <w:szCs w:val="21"/>
        </w:rPr>
      </w:pPr>
      <w:r>
        <w:rPr>
          <w:rFonts w:hint="eastAsia" w:ascii="宋体" w:eastAsia="宋体"/>
          <w:szCs w:val="21"/>
        </w:rPr>
        <w:t xml:space="preserve">4. </w:t>
      </w:r>
      <w:r>
        <w:rPr>
          <w:rFonts w:hint="eastAsia" w:ascii="宋体" w:eastAsia="宋体"/>
          <w:bCs/>
          <w:kern w:val="0"/>
          <w:szCs w:val="21"/>
        </w:rPr>
        <w:t>对于实质性</w:t>
      </w:r>
      <w:r>
        <w:rPr>
          <w:rFonts w:hint="eastAsia" w:ascii="宋体" w:eastAsia="宋体"/>
          <w:szCs w:val="21"/>
        </w:rPr>
        <w:t>条款，投标文件响应为“负偏离”的，投标文件将按无效投标处理。</w:t>
      </w:r>
    </w:p>
    <w:p w14:paraId="5F23E0FB">
      <w:pPr>
        <w:spacing w:line="360" w:lineRule="auto"/>
        <w:rPr>
          <w:rFonts w:ascii="宋体" w:eastAsia="宋体"/>
          <w:szCs w:val="21"/>
        </w:rPr>
      </w:pPr>
      <w:r>
        <w:rPr>
          <w:rFonts w:hint="eastAsia" w:ascii="宋体" w:eastAsia="宋体"/>
          <w:szCs w:val="21"/>
        </w:rPr>
        <w:t xml:space="preserve">5. </w:t>
      </w:r>
      <w:r>
        <w:rPr>
          <w:rFonts w:hint="eastAsia" w:ascii="宋体" w:eastAsia="宋体"/>
          <w:b/>
          <w:szCs w:val="21"/>
        </w:rPr>
        <w:t>投标产品的技术参数应按</w:t>
      </w:r>
      <w:r>
        <w:rPr>
          <w:rFonts w:hint="eastAsia" w:ascii="宋体" w:eastAsia="宋体"/>
          <w:b/>
          <w:szCs w:val="21"/>
          <w:highlight w:val="yellow"/>
        </w:rPr>
        <w:t>招标文件第二章“四、具体技术要求”</w:t>
      </w:r>
      <w:r>
        <w:rPr>
          <w:rFonts w:hint="eastAsia" w:ascii="宋体" w:eastAsia="宋体"/>
          <w:b/>
          <w:szCs w:val="21"/>
        </w:rPr>
        <w:t>中的要求提供相应的证明资料，以证明投标人响应的真实性。</w:t>
      </w:r>
      <w:r>
        <w:rPr>
          <w:rFonts w:hint="eastAsia" w:ascii="宋体" w:eastAsia="宋体"/>
          <w:szCs w:val="21"/>
        </w:rPr>
        <w:t>投标人应在“说明”一栏中列出技术参数的证明资料名称，并指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A65613D">
      <w:pPr>
        <w:rPr>
          <w:sz w:val="24"/>
        </w:rPr>
      </w:pPr>
    </w:p>
    <w:p w14:paraId="38A20AEB">
      <w:pPr>
        <w:pStyle w:val="3"/>
        <w:jc w:val="center"/>
        <w:rPr>
          <w:rFonts w:ascii="黑体" w:eastAsia="黑体"/>
          <w:b w:val="0"/>
          <w:bCs w:val="0"/>
          <w:sz w:val="24"/>
          <w:szCs w:val="20"/>
        </w:rPr>
      </w:pPr>
      <w:r>
        <w:rPr>
          <w:rFonts w:hint="eastAsia" w:ascii="黑体" w:eastAsia="黑体"/>
          <w:b w:val="0"/>
          <w:bCs w:val="0"/>
          <w:sz w:val="24"/>
          <w:szCs w:val="20"/>
          <w:lang w:val="en-US" w:eastAsia="zh-CN"/>
        </w:rPr>
        <w:t>十三</w:t>
      </w:r>
      <w:r>
        <w:rPr>
          <w:rFonts w:hint="eastAsia" w:ascii="黑体" w:eastAsia="黑体"/>
          <w:b w:val="0"/>
          <w:bCs w:val="0"/>
          <w:sz w:val="24"/>
          <w:szCs w:val="20"/>
        </w:rPr>
        <w:t>、商务条款偏离表</w:t>
      </w:r>
    </w:p>
    <w:tbl>
      <w:tblPr>
        <w:tblStyle w:val="42"/>
        <w:tblpPr w:leftFromText="180" w:rightFromText="180" w:vertAnchor="text" w:tblpXSpec="center" w:tblpY="1"/>
        <w:tblOverlap w:val="never"/>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980"/>
        <w:gridCol w:w="1980"/>
        <w:gridCol w:w="1440"/>
        <w:gridCol w:w="2385"/>
      </w:tblGrid>
      <w:tr w14:paraId="3792D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28419C41">
            <w:pPr>
              <w:jc w:val="center"/>
              <w:rPr>
                <w:sz w:val="24"/>
              </w:rPr>
            </w:pPr>
            <w:r>
              <w:rPr>
                <w:rFonts w:hint="eastAsia"/>
                <w:sz w:val="24"/>
              </w:rPr>
              <w:t>序号</w:t>
            </w:r>
          </w:p>
        </w:tc>
        <w:tc>
          <w:tcPr>
            <w:tcW w:w="1980" w:type="dxa"/>
          </w:tcPr>
          <w:p w14:paraId="21597812">
            <w:pPr>
              <w:jc w:val="center"/>
              <w:rPr>
                <w:sz w:val="24"/>
              </w:rPr>
            </w:pPr>
            <w:r>
              <w:rPr>
                <w:rFonts w:hint="eastAsia"/>
                <w:sz w:val="24"/>
              </w:rPr>
              <w:t>招标商务条款</w:t>
            </w:r>
          </w:p>
        </w:tc>
        <w:tc>
          <w:tcPr>
            <w:tcW w:w="1980" w:type="dxa"/>
          </w:tcPr>
          <w:p w14:paraId="3FED5D41">
            <w:pPr>
              <w:jc w:val="center"/>
              <w:rPr>
                <w:sz w:val="24"/>
              </w:rPr>
            </w:pPr>
            <w:r>
              <w:rPr>
                <w:rFonts w:hint="eastAsia"/>
                <w:sz w:val="24"/>
              </w:rPr>
              <w:t>投标商务响应</w:t>
            </w:r>
          </w:p>
        </w:tc>
        <w:tc>
          <w:tcPr>
            <w:tcW w:w="1440" w:type="dxa"/>
          </w:tcPr>
          <w:p w14:paraId="08EBBBDA">
            <w:pPr>
              <w:jc w:val="center"/>
              <w:rPr>
                <w:sz w:val="24"/>
              </w:rPr>
            </w:pPr>
            <w:r>
              <w:rPr>
                <w:rFonts w:hint="eastAsia"/>
              </w:rPr>
              <w:t>偏离情况</w:t>
            </w:r>
          </w:p>
        </w:tc>
        <w:tc>
          <w:tcPr>
            <w:tcW w:w="2385" w:type="dxa"/>
          </w:tcPr>
          <w:p w14:paraId="18A59CE4">
            <w:pPr>
              <w:jc w:val="center"/>
              <w:rPr>
                <w:sz w:val="24"/>
              </w:rPr>
            </w:pPr>
            <w:r>
              <w:rPr>
                <w:rFonts w:hint="eastAsia"/>
                <w:sz w:val="24"/>
              </w:rPr>
              <w:t>说明</w:t>
            </w:r>
          </w:p>
        </w:tc>
      </w:tr>
      <w:tr w14:paraId="7FE4A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1914477D">
            <w:pPr>
              <w:rPr>
                <w:sz w:val="24"/>
              </w:rPr>
            </w:pPr>
          </w:p>
        </w:tc>
        <w:tc>
          <w:tcPr>
            <w:tcW w:w="1980" w:type="dxa"/>
          </w:tcPr>
          <w:p w14:paraId="1B17EEE1">
            <w:pPr>
              <w:rPr>
                <w:sz w:val="24"/>
              </w:rPr>
            </w:pPr>
          </w:p>
        </w:tc>
        <w:tc>
          <w:tcPr>
            <w:tcW w:w="1980" w:type="dxa"/>
          </w:tcPr>
          <w:p w14:paraId="157086E0">
            <w:pPr>
              <w:rPr>
                <w:sz w:val="24"/>
              </w:rPr>
            </w:pPr>
          </w:p>
        </w:tc>
        <w:tc>
          <w:tcPr>
            <w:tcW w:w="1440" w:type="dxa"/>
          </w:tcPr>
          <w:p w14:paraId="30426EAF">
            <w:pPr>
              <w:rPr>
                <w:sz w:val="24"/>
              </w:rPr>
            </w:pPr>
          </w:p>
        </w:tc>
        <w:tc>
          <w:tcPr>
            <w:tcW w:w="2385" w:type="dxa"/>
          </w:tcPr>
          <w:p w14:paraId="123C72DE">
            <w:pPr>
              <w:rPr>
                <w:sz w:val="24"/>
              </w:rPr>
            </w:pPr>
            <w:r>
              <w:rPr>
                <w:rFonts w:hint="eastAsia"/>
                <w:szCs w:val="21"/>
              </w:rPr>
              <w:t>如需附证明文件，应在“说明”栏填写证明文件对应名称和页码。</w:t>
            </w:r>
          </w:p>
        </w:tc>
      </w:tr>
      <w:tr w14:paraId="3C108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6FFDDF14">
            <w:pPr>
              <w:rPr>
                <w:sz w:val="24"/>
              </w:rPr>
            </w:pPr>
          </w:p>
        </w:tc>
        <w:tc>
          <w:tcPr>
            <w:tcW w:w="1980" w:type="dxa"/>
          </w:tcPr>
          <w:p w14:paraId="562F3B35">
            <w:pPr>
              <w:rPr>
                <w:sz w:val="24"/>
              </w:rPr>
            </w:pPr>
          </w:p>
        </w:tc>
        <w:tc>
          <w:tcPr>
            <w:tcW w:w="1980" w:type="dxa"/>
          </w:tcPr>
          <w:p w14:paraId="0256BD0E">
            <w:pPr>
              <w:rPr>
                <w:sz w:val="24"/>
              </w:rPr>
            </w:pPr>
          </w:p>
        </w:tc>
        <w:tc>
          <w:tcPr>
            <w:tcW w:w="1440" w:type="dxa"/>
          </w:tcPr>
          <w:p w14:paraId="658F3712">
            <w:pPr>
              <w:rPr>
                <w:sz w:val="24"/>
              </w:rPr>
            </w:pPr>
          </w:p>
        </w:tc>
        <w:tc>
          <w:tcPr>
            <w:tcW w:w="2385" w:type="dxa"/>
          </w:tcPr>
          <w:p w14:paraId="2F179E8D">
            <w:pPr>
              <w:rPr>
                <w:sz w:val="24"/>
              </w:rPr>
            </w:pPr>
          </w:p>
        </w:tc>
      </w:tr>
      <w:tr w14:paraId="67B2D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362E83A8">
            <w:pPr>
              <w:rPr>
                <w:sz w:val="24"/>
              </w:rPr>
            </w:pPr>
          </w:p>
        </w:tc>
        <w:tc>
          <w:tcPr>
            <w:tcW w:w="1980" w:type="dxa"/>
          </w:tcPr>
          <w:p w14:paraId="41ED2DC3">
            <w:pPr>
              <w:rPr>
                <w:sz w:val="24"/>
              </w:rPr>
            </w:pPr>
          </w:p>
        </w:tc>
        <w:tc>
          <w:tcPr>
            <w:tcW w:w="1980" w:type="dxa"/>
          </w:tcPr>
          <w:p w14:paraId="0C5FD1B6">
            <w:pPr>
              <w:rPr>
                <w:sz w:val="24"/>
              </w:rPr>
            </w:pPr>
          </w:p>
        </w:tc>
        <w:tc>
          <w:tcPr>
            <w:tcW w:w="1440" w:type="dxa"/>
          </w:tcPr>
          <w:p w14:paraId="133F1268">
            <w:pPr>
              <w:rPr>
                <w:sz w:val="24"/>
              </w:rPr>
            </w:pPr>
          </w:p>
        </w:tc>
        <w:tc>
          <w:tcPr>
            <w:tcW w:w="2385" w:type="dxa"/>
          </w:tcPr>
          <w:p w14:paraId="7DF84AEC">
            <w:pPr>
              <w:rPr>
                <w:sz w:val="24"/>
              </w:rPr>
            </w:pPr>
          </w:p>
        </w:tc>
      </w:tr>
      <w:tr w14:paraId="6DAD5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0AE719EC">
            <w:pPr>
              <w:rPr>
                <w:sz w:val="24"/>
              </w:rPr>
            </w:pPr>
          </w:p>
        </w:tc>
        <w:tc>
          <w:tcPr>
            <w:tcW w:w="1980" w:type="dxa"/>
          </w:tcPr>
          <w:p w14:paraId="7CF53C38">
            <w:pPr>
              <w:rPr>
                <w:sz w:val="24"/>
              </w:rPr>
            </w:pPr>
          </w:p>
        </w:tc>
        <w:tc>
          <w:tcPr>
            <w:tcW w:w="1980" w:type="dxa"/>
          </w:tcPr>
          <w:p w14:paraId="18025508">
            <w:pPr>
              <w:rPr>
                <w:sz w:val="24"/>
              </w:rPr>
            </w:pPr>
          </w:p>
        </w:tc>
        <w:tc>
          <w:tcPr>
            <w:tcW w:w="1440" w:type="dxa"/>
          </w:tcPr>
          <w:p w14:paraId="6E9D5A79">
            <w:pPr>
              <w:rPr>
                <w:sz w:val="24"/>
              </w:rPr>
            </w:pPr>
          </w:p>
        </w:tc>
        <w:tc>
          <w:tcPr>
            <w:tcW w:w="2385" w:type="dxa"/>
          </w:tcPr>
          <w:p w14:paraId="143D6014">
            <w:pPr>
              <w:rPr>
                <w:sz w:val="24"/>
              </w:rPr>
            </w:pPr>
          </w:p>
        </w:tc>
      </w:tr>
      <w:tr w14:paraId="33CD2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5070F0E8">
            <w:pPr>
              <w:rPr>
                <w:sz w:val="24"/>
              </w:rPr>
            </w:pPr>
          </w:p>
        </w:tc>
        <w:tc>
          <w:tcPr>
            <w:tcW w:w="1980" w:type="dxa"/>
          </w:tcPr>
          <w:p w14:paraId="65618FD4">
            <w:pPr>
              <w:rPr>
                <w:sz w:val="24"/>
              </w:rPr>
            </w:pPr>
          </w:p>
        </w:tc>
        <w:tc>
          <w:tcPr>
            <w:tcW w:w="1980" w:type="dxa"/>
          </w:tcPr>
          <w:p w14:paraId="2044946C">
            <w:pPr>
              <w:rPr>
                <w:sz w:val="24"/>
              </w:rPr>
            </w:pPr>
          </w:p>
        </w:tc>
        <w:tc>
          <w:tcPr>
            <w:tcW w:w="1440" w:type="dxa"/>
          </w:tcPr>
          <w:p w14:paraId="2270C720">
            <w:pPr>
              <w:rPr>
                <w:sz w:val="24"/>
              </w:rPr>
            </w:pPr>
          </w:p>
        </w:tc>
        <w:tc>
          <w:tcPr>
            <w:tcW w:w="2385" w:type="dxa"/>
          </w:tcPr>
          <w:p w14:paraId="5683C0D6">
            <w:pPr>
              <w:rPr>
                <w:sz w:val="24"/>
              </w:rPr>
            </w:pPr>
          </w:p>
        </w:tc>
      </w:tr>
    </w:tbl>
    <w:p w14:paraId="7C164215">
      <w:pPr>
        <w:spacing w:line="360" w:lineRule="auto"/>
        <w:rPr>
          <w:rFonts w:ascii="宋体" w:eastAsia="宋体"/>
          <w:szCs w:val="21"/>
        </w:rPr>
      </w:pPr>
      <w:r>
        <w:rPr>
          <w:rFonts w:hint="eastAsia" w:ascii="宋体" w:eastAsia="宋体"/>
          <w:szCs w:val="21"/>
        </w:rPr>
        <w:t>备注：</w:t>
      </w:r>
    </w:p>
    <w:p w14:paraId="295FEDDA">
      <w:pPr>
        <w:spacing w:line="360" w:lineRule="auto"/>
        <w:rPr>
          <w:rFonts w:ascii="宋体" w:eastAsia="宋体"/>
          <w:szCs w:val="21"/>
        </w:rPr>
      </w:pPr>
      <w:r>
        <w:rPr>
          <w:rFonts w:hint="eastAsia" w:ascii="宋体" w:eastAsia="宋体"/>
          <w:szCs w:val="21"/>
        </w:rPr>
        <w:t>1. “招标商务条款”一栏逐项填写</w:t>
      </w:r>
      <w:r>
        <w:rPr>
          <w:rFonts w:hint="eastAsia" w:ascii="宋体" w:eastAsia="宋体"/>
          <w:b/>
          <w:szCs w:val="21"/>
          <w:highlight w:val="yellow"/>
        </w:rPr>
        <w:t>招标文件第二章“五、商务要求”的内容</w:t>
      </w:r>
      <w:r>
        <w:rPr>
          <w:rFonts w:hint="eastAsia" w:ascii="宋体" w:eastAsia="宋体"/>
          <w:szCs w:val="21"/>
        </w:rPr>
        <w:t>。</w:t>
      </w:r>
    </w:p>
    <w:p w14:paraId="0FE2A5EF">
      <w:pPr>
        <w:spacing w:line="360" w:lineRule="auto"/>
        <w:rPr>
          <w:rFonts w:ascii="宋体" w:eastAsia="宋体"/>
          <w:szCs w:val="21"/>
        </w:rPr>
      </w:pPr>
      <w:r>
        <w:rPr>
          <w:rFonts w:hint="eastAsia" w:ascii="宋体" w:eastAsia="宋体"/>
          <w:szCs w:val="21"/>
        </w:rPr>
        <w:t>2. “投标商务响应”一栏详细填写投标商务响应的内容。</w:t>
      </w:r>
    </w:p>
    <w:p w14:paraId="1A7BBB73">
      <w:pPr>
        <w:spacing w:line="360" w:lineRule="auto"/>
        <w:rPr>
          <w:rFonts w:ascii="宋体" w:eastAsia="宋体"/>
          <w:szCs w:val="21"/>
        </w:rPr>
      </w:pPr>
      <w:r>
        <w:rPr>
          <w:rFonts w:hint="eastAsia" w:ascii="宋体" w:eastAsia="宋体"/>
          <w:szCs w:val="21"/>
        </w:rPr>
        <w:t>3. “偏离情况”栏中应如实填写“正偏离”、“负偏离”或“无偏离”。</w:t>
      </w:r>
    </w:p>
    <w:p w14:paraId="34A86F8C">
      <w:pPr>
        <w:spacing w:line="360" w:lineRule="auto"/>
        <w:rPr>
          <w:rFonts w:ascii="宋体" w:eastAsia="宋体"/>
          <w:szCs w:val="21"/>
        </w:rPr>
      </w:pPr>
      <w:r>
        <w:rPr>
          <w:rFonts w:hint="eastAsia" w:ascii="宋体" w:eastAsia="宋体"/>
          <w:szCs w:val="21"/>
        </w:rPr>
        <w:t xml:space="preserve">4. </w:t>
      </w:r>
      <w:r>
        <w:rPr>
          <w:rFonts w:hint="eastAsia" w:ascii="宋体" w:eastAsia="宋体"/>
          <w:bCs/>
          <w:kern w:val="0"/>
          <w:szCs w:val="21"/>
        </w:rPr>
        <w:t>对于实质性</w:t>
      </w:r>
      <w:r>
        <w:rPr>
          <w:rFonts w:hint="eastAsia" w:ascii="宋体" w:eastAsia="宋体"/>
          <w:szCs w:val="21"/>
        </w:rPr>
        <w:t>条款，投标文件响应为“负偏离”的，投标文件将按无效投标处理。</w:t>
      </w:r>
    </w:p>
    <w:p w14:paraId="26E35B42">
      <w:pPr>
        <w:spacing w:line="360" w:lineRule="auto"/>
      </w:pPr>
      <w:r>
        <w:rPr>
          <w:rFonts w:hint="eastAsia" w:ascii="宋体" w:eastAsia="宋体"/>
          <w:szCs w:val="21"/>
        </w:rPr>
        <w:t>5.</w:t>
      </w:r>
      <w:r>
        <w:rPr>
          <w:rFonts w:hint="eastAsia" w:ascii="宋体" w:cs="宋体"/>
          <w:bCs/>
          <w:szCs w:val="21"/>
        </w:rPr>
        <w:t xml:space="preserve"> 如采购文件要求提供证明材料，</w:t>
      </w:r>
      <w:r>
        <w:rPr>
          <w:rFonts w:hint="eastAsia" w:ascii="宋体" w:eastAsia="宋体"/>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11F981C2">
      <w:pPr>
        <w:spacing w:line="360" w:lineRule="auto"/>
        <w:rPr>
          <w:rFonts w:ascii="宋体" w:eastAsia="宋体"/>
          <w:szCs w:val="21"/>
        </w:rPr>
      </w:pPr>
    </w:p>
    <w:p w14:paraId="23DEDCF8">
      <w:pPr>
        <w:rPr>
          <w:sz w:val="24"/>
        </w:rPr>
      </w:pPr>
    </w:p>
    <w:p w14:paraId="41B4415A">
      <w:pPr>
        <w:numPr>
          <w:ilvl w:val="0"/>
          <w:numId w:val="13"/>
        </w:numPr>
        <w:spacing w:line="360" w:lineRule="auto"/>
        <w:jc w:val="center"/>
        <w:rPr>
          <w:rFonts w:hint="eastAsia" w:ascii="黑体" w:eastAsia="黑体"/>
          <w:bCs/>
          <w:kern w:val="0"/>
          <w:sz w:val="24"/>
          <w:szCs w:val="24"/>
          <w:lang w:val="en-US" w:eastAsia="zh-CN"/>
        </w:rPr>
      </w:pPr>
      <w:r>
        <w:rPr>
          <w:rFonts w:hint="eastAsia" w:ascii="黑体" w:eastAsia="黑体"/>
          <w:bCs/>
          <w:kern w:val="0"/>
          <w:sz w:val="24"/>
          <w:szCs w:val="24"/>
          <w:lang w:val="en-US" w:eastAsia="zh-CN"/>
        </w:rPr>
        <w:t>项目技术方案（格式自拟）</w:t>
      </w:r>
    </w:p>
    <w:p w14:paraId="1E765B4D">
      <w:pPr>
        <w:numPr>
          <w:ilvl w:val="0"/>
          <w:numId w:val="13"/>
        </w:numPr>
        <w:spacing w:line="360" w:lineRule="auto"/>
        <w:jc w:val="center"/>
        <w:rPr>
          <w:rFonts w:hint="eastAsia" w:ascii="黑体" w:eastAsia="黑体"/>
          <w:bCs/>
          <w:kern w:val="0"/>
          <w:sz w:val="24"/>
          <w:szCs w:val="24"/>
          <w:lang w:val="en-US" w:eastAsia="zh-CN"/>
        </w:rPr>
      </w:pPr>
      <w:r>
        <w:rPr>
          <w:rFonts w:hint="eastAsia" w:ascii="黑体" w:eastAsia="黑体"/>
          <w:bCs/>
          <w:kern w:val="0"/>
          <w:sz w:val="24"/>
          <w:szCs w:val="24"/>
          <w:lang w:val="en-US" w:eastAsia="zh-CN"/>
        </w:rPr>
        <w:t>项目实施方案（格式自拟）</w:t>
      </w:r>
    </w:p>
    <w:p w14:paraId="18A8BAAC">
      <w:pPr>
        <w:numPr>
          <w:ilvl w:val="0"/>
          <w:numId w:val="13"/>
        </w:numPr>
        <w:spacing w:line="360" w:lineRule="auto"/>
        <w:jc w:val="center"/>
        <w:rPr>
          <w:rFonts w:hint="eastAsia" w:ascii="黑体" w:eastAsia="黑体"/>
          <w:bCs/>
          <w:kern w:val="0"/>
          <w:sz w:val="24"/>
          <w:szCs w:val="24"/>
          <w:lang w:val="en-US" w:eastAsia="zh-CN"/>
        </w:rPr>
      </w:pPr>
      <w:r>
        <w:rPr>
          <w:rFonts w:hint="eastAsia" w:ascii="黑体" w:eastAsia="黑体"/>
          <w:bCs/>
          <w:kern w:val="0"/>
          <w:sz w:val="24"/>
          <w:szCs w:val="24"/>
          <w:lang w:val="en-US" w:eastAsia="zh-CN"/>
        </w:rPr>
        <w:t>拟投入设备情况（格式自拟）</w:t>
      </w:r>
    </w:p>
    <w:p w14:paraId="22560946">
      <w:pPr>
        <w:numPr>
          <w:ilvl w:val="0"/>
          <w:numId w:val="13"/>
        </w:numPr>
        <w:spacing w:line="360" w:lineRule="auto"/>
        <w:jc w:val="center"/>
        <w:rPr>
          <w:rFonts w:hint="eastAsia" w:ascii="黑体" w:eastAsia="黑体"/>
          <w:bCs/>
          <w:kern w:val="0"/>
          <w:sz w:val="24"/>
          <w:szCs w:val="24"/>
          <w:lang w:val="en-US" w:eastAsia="zh-CN"/>
        </w:rPr>
      </w:pPr>
      <w:r>
        <w:rPr>
          <w:rFonts w:hint="eastAsia" w:ascii="黑体" w:eastAsia="黑体"/>
          <w:bCs/>
          <w:kern w:val="0"/>
          <w:sz w:val="24"/>
          <w:szCs w:val="24"/>
          <w:lang w:val="en-US" w:eastAsia="zh-CN"/>
        </w:rPr>
        <w:t>售后服务方案（格式自拟）</w:t>
      </w:r>
    </w:p>
    <w:p w14:paraId="1F66AAB4">
      <w:pPr>
        <w:numPr>
          <w:ilvl w:val="0"/>
          <w:numId w:val="13"/>
        </w:numPr>
        <w:spacing w:line="360" w:lineRule="auto"/>
        <w:jc w:val="center"/>
        <w:rPr>
          <w:rFonts w:hint="eastAsia" w:ascii="黑体" w:eastAsia="黑体"/>
          <w:bCs/>
          <w:kern w:val="0"/>
          <w:sz w:val="24"/>
          <w:szCs w:val="24"/>
          <w:lang w:val="en-US" w:eastAsia="zh-CN"/>
        </w:rPr>
      </w:pPr>
      <w:r>
        <w:rPr>
          <w:rFonts w:hint="eastAsia" w:ascii="黑体" w:eastAsia="黑体"/>
          <w:bCs/>
          <w:kern w:val="0"/>
          <w:sz w:val="24"/>
          <w:szCs w:val="24"/>
          <w:lang w:val="en-US" w:eastAsia="zh-CN"/>
        </w:rPr>
        <w:t>类似业绩（格式自拟）</w:t>
      </w:r>
    </w:p>
    <w:p w14:paraId="12AD8D87">
      <w:pPr>
        <w:numPr>
          <w:ilvl w:val="0"/>
          <w:numId w:val="13"/>
        </w:numPr>
        <w:spacing w:line="360" w:lineRule="auto"/>
        <w:jc w:val="center"/>
        <w:rPr>
          <w:rFonts w:hint="eastAsia" w:ascii="黑体" w:eastAsia="黑体"/>
          <w:bCs/>
          <w:kern w:val="0"/>
          <w:sz w:val="24"/>
          <w:szCs w:val="24"/>
          <w:lang w:val="en-US" w:eastAsia="zh-CN"/>
        </w:rPr>
      </w:pPr>
      <w:r>
        <w:rPr>
          <w:rFonts w:hint="eastAsia" w:ascii="黑体" w:eastAsia="黑体"/>
          <w:bCs/>
          <w:kern w:val="0"/>
          <w:sz w:val="24"/>
          <w:szCs w:val="24"/>
          <w:lang w:val="en-US" w:eastAsia="zh-CN"/>
        </w:rPr>
        <w:t>技术团队实力（格式自拟）</w:t>
      </w:r>
    </w:p>
    <w:p w14:paraId="6198ECB5">
      <w:pPr>
        <w:numPr>
          <w:ilvl w:val="0"/>
          <w:numId w:val="13"/>
        </w:numPr>
        <w:spacing w:line="360" w:lineRule="auto"/>
        <w:jc w:val="center"/>
        <w:rPr>
          <w:rFonts w:hint="eastAsia" w:ascii="黑体" w:eastAsia="黑体"/>
          <w:bCs/>
          <w:kern w:val="0"/>
          <w:sz w:val="24"/>
          <w:szCs w:val="24"/>
          <w:lang w:val="en-US" w:eastAsia="zh-CN"/>
        </w:rPr>
      </w:pPr>
      <w:r>
        <w:rPr>
          <w:rFonts w:hint="eastAsia" w:ascii="黑体" w:eastAsia="黑体"/>
          <w:bCs/>
          <w:kern w:val="0"/>
          <w:sz w:val="24"/>
          <w:szCs w:val="24"/>
          <w:lang w:val="en-US" w:eastAsia="zh-CN"/>
        </w:rPr>
        <w:t>招标文件要求的其它内容或投标人认为需要补充的资料（格式自拟）</w:t>
      </w:r>
    </w:p>
    <w:p w14:paraId="01B77219">
      <w:pPr>
        <w:widowControl/>
        <w:snapToGrid w:val="0"/>
        <w:spacing w:line="360" w:lineRule="auto"/>
        <w:jc w:val="left"/>
        <w:outlineLvl w:val="4"/>
        <w:rPr>
          <w:rFonts w:ascii="仿宋" w:eastAsia="仿宋"/>
          <w:b/>
          <w:bCs/>
          <w:color w:val="FF0000"/>
          <w:kern w:val="0"/>
          <w:sz w:val="25"/>
          <w:szCs w:val="25"/>
        </w:rPr>
      </w:pPr>
    </w:p>
    <w:p w14:paraId="465BCE29">
      <w:pPr>
        <w:widowControl/>
        <w:jc w:val="left"/>
        <w:rPr>
          <w:rFonts w:ascii="宋体"/>
          <w:b/>
          <w:bCs/>
          <w:kern w:val="0"/>
          <w:sz w:val="24"/>
          <w:szCs w:val="20"/>
        </w:rPr>
      </w:pPr>
      <w:r>
        <w:br w:type="page"/>
      </w:r>
    </w:p>
    <w:p w14:paraId="685A20FB">
      <w:pPr>
        <w:pStyle w:val="5"/>
      </w:pPr>
      <w:r>
        <w:rPr>
          <w:rFonts w:hint="eastAsia"/>
        </w:rPr>
        <w:t>第四章  合同及履约情况反馈格式</w:t>
      </w:r>
    </w:p>
    <w:p w14:paraId="0D624FB7">
      <w:pPr>
        <w:ind w:firstLine="411" w:firstLineChars="196"/>
      </w:pPr>
    </w:p>
    <w:p w14:paraId="72E871F6">
      <w:pPr>
        <w:pStyle w:val="3"/>
        <w:jc w:val="center"/>
        <w:rPr>
          <w:rFonts w:ascii="黑体" w:eastAsia="黑体"/>
          <w:b w:val="0"/>
          <w:kern w:val="0"/>
          <w:sz w:val="24"/>
          <w:szCs w:val="24"/>
        </w:rPr>
      </w:pPr>
      <w:r>
        <w:rPr>
          <w:rFonts w:hint="eastAsia" w:ascii="黑体" w:eastAsia="黑体"/>
          <w:b w:val="0"/>
          <w:kern w:val="0"/>
          <w:sz w:val="24"/>
          <w:szCs w:val="24"/>
        </w:rPr>
        <w:t>一、合同条款及格式（仅供参考）</w:t>
      </w:r>
    </w:p>
    <w:p w14:paraId="5F743DBE">
      <w:pPr>
        <w:ind w:firstLine="470" w:firstLineChars="196"/>
        <w:jc w:val="center"/>
        <w:rPr>
          <w:sz w:val="24"/>
        </w:rPr>
      </w:pPr>
      <w:bookmarkStart w:id="30" w:name="_Toc73518163"/>
      <w:bookmarkStart w:id="31" w:name="_Toc100052414"/>
      <w:bookmarkStart w:id="32" w:name="_Toc84303603"/>
      <w:bookmarkStart w:id="33" w:name="_Toc73521680"/>
      <w:bookmarkStart w:id="34" w:name="_Toc73517685"/>
      <w:bookmarkStart w:id="35" w:name="_Toc73521592"/>
      <w:bookmarkStart w:id="36" w:name="_Toc101074886"/>
    </w:p>
    <w:bookmarkEnd w:id="30"/>
    <w:bookmarkEnd w:id="31"/>
    <w:bookmarkEnd w:id="32"/>
    <w:bookmarkEnd w:id="33"/>
    <w:bookmarkEnd w:id="34"/>
    <w:bookmarkEnd w:id="35"/>
    <w:bookmarkEnd w:id="36"/>
    <w:p w14:paraId="66C1FE40">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40065B60">
      <w:pPr>
        <w:widowControl/>
        <w:kinsoku w:val="0"/>
        <w:autoSpaceDE w:val="0"/>
        <w:autoSpaceDN w:val="0"/>
        <w:adjustRightInd w:val="0"/>
        <w:snapToGrid w:val="0"/>
        <w:spacing w:before="147" w:line="218" w:lineRule="auto"/>
        <w:ind w:left="2206"/>
        <w:jc w:val="left"/>
        <w:textAlignment w:val="baseline"/>
        <w:outlineLvl w:val="0"/>
        <w:rPr>
          <w:rFonts w:ascii="宋体" w:eastAsia="宋体" w:cs="宋体"/>
          <w:b/>
          <w:bCs/>
          <w:snapToGrid w:val="0"/>
          <w:color w:val="000000"/>
          <w:spacing w:val="-11"/>
          <w:kern w:val="0"/>
          <w:sz w:val="45"/>
          <w:szCs w:val="45"/>
        </w:rPr>
      </w:pPr>
    </w:p>
    <w:p w14:paraId="4F8133A8">
      <w:pPr>
        <w:pStyle w:val="18"/>
      </w:pPr>
    </w:p>
    <w:p w14:paraId="1D24A2B7"/>
    <w:p w14:paraId="58187DEE">
      <w:pPr>
        <w:pStyle w:val="18"/>
      </w:pPr>
    </w:p>
    <w:p w14:paraId="764613F2"/>
    <w:p w14:paraId="04875D6E">
      <w:pPr>
        <w:widowControl/>
        <w:kinsoku w:val="0"/>
        <w:autoSpaceDE w:val="0"/>
        <w:autoSpaceDN w:val="0"/>
        <w:adjustRightInd w:val="0"/>
        <w:snapToGrid w:val="0"/>
        <w:spacing w:before="147" w:line="218" w:lineRule="auto"/>
        <w:jc w:val="center"/>
        <w:textAlignment w:val="baseline"/>
        <w:outlineLvl w:val="0"/>
        <w:rPr>
          <w:rFonts w:ascii="宋体" w:cs="宋体"/>
          <w:snapToGrid w:val="0"/>
          <w:color w:val="000000"/>
          <w:kern w:val="0"/>
          <w:sz w:val="45"/>
          <w:szCs w:val="45"/>
        </w:rPr>
      </w:pPr>
      <w:r>
        <w:rPr>
          <w:rFonts w:ascii="宋体" w:cs="宋体"/>
          <w:b/>
          <w:bCs/>
          <w:snapToGrid w:val="0"/>
          <w:color w:val="000000"/>
          <w:spacing w:val="-11"/>
          <w:kern w:val="0"/>
          <w:sz w:val="45"/>
          <w:szCs w:val="45"/>
        </w:rPr>
        <w:t>政府采购货物买卖合同</w:t>
      </w:r>
    </w:p>
    <w:p w14:paraId="60B7AD96">
      <w:pPr>
        <w:widowControl/>
        <w:kinsoku w:val="0"/>
        <w:autoSpaceDE w:val="0"/>
        <w:autoSpaceDN w:val="0"/>
        <w:adjustRightInd w:val="0"/>
        <w:snapToGrid w:val="0"/>
        <w:spacing w:line="269" w:lineRule="auto"/>
        <w:jc w:val="left"/>
        <w:textAlignment w:val="baseline"/>
        <w:rPr>
          <w:rFonts w:ascii="宋体" w:cs="Arial"/>
          <w:snapToGrid w:val="0"/>
          <w:color w:val="000000"/>
          <w:kern w:val="0"/>
          <w:szCs w:val="21"/>
        </w:rPr>
      </w:pPr>
    </w:p>
    <w:p w14:paraId="35ED0343">
      <w:pPr>
        <w:widowControl/>
        <w:kinsoku w:val="0"/>
        <w:autoSpaceDE w:val="0"/>
        <w:autoSpaceDN w:val="0"/>
        <w:adjustRightInd w:val="0"/>
        <w:snapToGrid w:val="0"/>
        <w:spacing w:line="271" w:lineRule="auto"/>
        <w:jc w:val="left"/>
        <w:textAlignment w:val="baseline"/>
        <w:rPr>
          <w:rFonts w:ascii="宋体" w:cs="Arial"/>
          <w:snapToGrid w:val="0"/>
          <w:color w:val="000000"/>
          <w:kern w:val="0"/>
          <w:szCs w:val="21"/>
        </w:rPr>
      </w:pPr>
    </w:p>
    <w:p w14:paraId="7064DF79">
      <w:pPr>
        <w:widowControl/>
        <w:kinsoku w:val="0"/>
        <w:autoSpaceDE w:val="0"/>
        <w:autoSpaceDN w:val="0"/>
        <w:adjustRightInd w:val="0"/>
        <w:snapToGrid w:val="0"/>
        <w:spacing w:line="271" w:lineRule="auto"/>
        <w:jc w:val="left"/>
        <w:textAlignment w:val="baseline"/>
        <w:rPr>
          <w:rFonts w:ascii="宋体" w:cs="Arial"/>
          <w:snapToGrid w:val="0"/>
          <w:color w:val="000000"/>
          <w:kern w:val="0"/>
          <w:szCs w:val="21"/>
        </w:rPr>
      </w:pPr>
    </w:p>
    <w:p w14:paraId="44A2814C">
      <w:pPr>
        <w:widowControl/>
        <w:kinsoku w:val="0"/>
        <w:autoSpaceDE w:val="0"/>
        <w:autoSpaceDN w:val="0"/>
        <w:adjustRightInd w:val="0"/>
        <w:snapToGrid w:val="0"/>
        <w:spacing w:line="271" w:lineRule="auto"/>
        <w:jc w:val="left"/>
        <w:textAlignment w:val="baseline"/>
        <w:rPr>
          <w:rFonts w:ascii="宋体" w:cs="Arial"/>
          <w:snapToGrid w:val="0"/>
          <w:color w:val="000000"/>
          <w:kern w:val="0"/>
          <w:szCs w:val="21"/>
        </w:rPr>
      </w:pPr>
    </w:p>
    <w:p w14:paraId="481A709A">
      <w:pPr>
        <w:widowControl/>
        <w:kinsoku w:val="0"/>
        <w:autoSpaceDE w:val="0"/>
        <w:autoSpaceDN w:val="0"/>
        <w:adjustRightInd w:val="0"/>
        <w:snapToGrid w:val="0"/>
        <w:spacing w:line="271" w:lineRule="auto"/>
        <w:jc w:val="left"/>
        <w:textAlignment w:val="baseline"/>
        <w:rPr>
          <w:rFonts w:ascii="宋体" w:cs="Arial"/>
          <w:snapToGrid w:val="0"/>
          <w:color w:val="000000"/>
          <w:kern w:val="0"/>
          <w:szCs w:val="21"/>
        </w:rPr>
      </w:pPr>
    </w:p>
    <w:p w14:paraId="5E793DED">
      <w:pPr>
        <w:widowControl/>
        <w:kinsoku w:val="0"/>
        <w:autoSpaceDE w:val="0"/>
        <w:autoSpaceDN w:val="0"/>
        <w:adjustRightInd w:val="0"/>
        <w:snapToGrid w:val="0"/>
        <w:spacing w:line="271" w:lineRule="auto"/>
        <w:jc w:val="left"/>
        <w:textAlignment w:val="baseline"/>
        <w:rPr>
          <w:rFonts w:ascii="宋体" w:cs="Arial"/>
          <w:snapToGrid w:val="0"/>
          <w:color w:val="000000"/>
          <w:kern w:val="0"/>
          <w:szCs w:val="21"/>
        </w:rPr>
      </w:pPr>
    </w:p>
    <w:p w14:paraId="49BB2CDB">
      <w:pPr>
        <w:widowControl/>
        <w:kinsoku w:val="0"/>
        <w:autoSpaceDE w:val="0"/>
        <w:autoSpaceDN w:val="0"/>
        <w:adjustRightInd w:val="0"/>
        <w:snapToGrid w:val="0"/>
        <w:spacing w:line="271" w:lineRule="auto"/>
        <w:jc w:val="left"/>
        <w:textAlignment w:val="baseline"/>
        <w:rPr>
          <w:rFonts w:ascii="宋体" w:cs="Arial"/>
          <w:snapToGrid w:val="0"/>
          <w:color w:val="000000"/>
          <w:kern w:val="0"/>
          <w:szCs w:val="21"/>
        </w:rPr>
      </w:pPr>
    </w:p>
    <w:p w14:paraId="3C23AC0F">
      <w:pPr>
        <w:widowControl/>
        <w:kinsoku w:val="0"/>
        <w:autoSpaceDE w:val="0"/>
        <w:autoSpaceDN w:val="0"/>
        <w:adjustRightInd w:val="0"/>
        <w:snapToGrid w:val="0"/>
        <w:spacing w:before="98" w:line="386" w:lineRule="auto"/>
        <w:ind w:left="684" w:firstLine="166" w:firstLineChars="55"/>
        <w:jc w:val="left"/>
        <w:textAlignment w:val="baseline"/>
        <w:rPr>
          <w:rFonts w:ascii="宋体" w:cs="宋体"/>
          <w:b/>
          <w:bCs/>
          <w:snapToGrid w:val="0"/>
          <w:color w:val="000000"/>
          <w:kern w:val="0"/>
          <w:sz w:val="30"/>
          <w:szCs w:val="30"/>
        </w:rPr>
      </w:pPr>
      <w:r>
        <w:rPr>
          <w:rFonts w:ascii="宋体" w:cs="宋体"/>
          <w:b/>
          <w:bCs/>
          <w:snapToGrid w:val="0"/>
          <w:color w:val="000000"/>
          <w:kern w:val="0"/>
          <w:sz w:val="30"/>
          <w:szCs w:val="30"/>
        </w:rPr>
        <w:t xml:space="preserve">项目名称： </w:t>
      </w:r>
      <w:r>
        <w:rPr>
          <w:rFonts w:ascii="宋体" w:cs="宋体"/>
          <w:b/>
          <w:bCs/>
          <w:snapToGrid w:val="0"/>
          <w:color w:val="000000"/>
          <w:kern w:val="0"/>
          <w:sz w:val="30"/>
          <w:szCs w:val="30"/>
          <w:u w:val="single"/>
        </w:rPr>
        <w:t xml:space="preserve">     </w:t>
      </w:r>
      <w:r>
        <w:rPr>
          <w:rFonts w:hint="eastAsia" w:ascii="宋体" w:cs="宋体"/>
          <w:b/>
          <w:bCs/>
          <w:snapToGrid w:val="0"/>
          <w:color w:val="000000"/>
          <w:kern w:val="0"/>
          <w:sz w:val="30"/>
          <w:szCs w:val="30"/>
          <w:u w:val="single"/>
        </w:rPr>
        <w:t xml:space="preserve">                      </w:t>
      </w:r>
      <w:r>
        <w:rPr>
          <w:rFonts w:ascii="宋体" w:cs="宋体"/>
          <w:b/>
          <w:bCs/>
          <w:snapToGrid w:val="0"/>
          <w:color w:val="000000"/>
          <w:kern w:val="0"/>
          <w:sz w:val="30"/>
          <w:szCs w:val="30"/>
          <w:u w:val="single"/>
        </w:rPr>
        <w:t xml:space="preserve">      </w:t>
      </w:r>
    </w:p>
    <w:p w14:paraId="70E17AB5">
      <w:pPr>
        <w:widowControl/>
        <w:kinsoku w:val="0"/>
        <w:autoSpaceDE w:val="0"/>
        <w:autoSpaceDN w:val="0"/>
        <w:adjustRightInd w:val="0"/>
        <w:snapToGrid w:val="0"/>
        <w:spacing w:before="98" w:line="386" w:lineRule="auto"/>
        <w:ind w:left="684" w:firstLine="166" w:firstLineChars="55"/>
        <w:jc w:val="left"/>
        <w:textAlignment w:val="baseline"/>
        <w:rPr>
          <w:rFonts w:ascii="宋体" w:cs="宋体"/>
          <w:b/>
          <w:bCs/>
          <w:snapToGrid w:val="0"/>
          <w:color w:val="000000"/>
          <w:kern w:val="0"/>
          <w:sz w:val="30"/>
          <w:szCs w:val="30"/>
        </w:rPr>
      </w:pPr>
      <w:r>
        <w:rPr>
          <w:rFonts w:ascii="宋体" w:cs="宋体"/>
          <w:b/>
          <w:bCs/>
          <w:snapToGrid w:val="0"/>
          <w:color w:val="000000"/>
          <w:kern w:val="0"/>
          <w:sz w:val="30"/>
          <w:szCs w:val="30"/>
        </w:rPr>
        <w:t xml:space="preserve">合同编号： </w:t>
      </w:r>
      <w:r>
        <w:rPr>
          <w:rFonts w:ascii="宋体" w:cs="宋体"/>
          <w:b/>
          <w:bCs/>
          <w:snapToGrid w:val="0"/>
          <w:color w:val="000000"/>
          <w:kern w:val="0"/>
          <w:sz w:val="30"/>
          <w:szCs w:val="30"/>
          <w:u w:val="single"/>
        </w:rPr>
        <w:t xml:space="preserve">     </w:t>
      </w:r>
      <w:r>
        <w:rPr>
          <w:rFonts w:hint="eastAsia" w:ascii="宋体" w:cs="宋体"/>
          <w:b/>
          <w:bCs/>
          <w:snapToGrid w:val="0"/>
          <w:color w:val="000000"/>
          <w:kern w:val="0"/>
          <w:sz w:val="30"/>
          <w:szCs w:val="30"/>
          <w:u w:val="single"/>
        </w:rPr>
        <w:t xml:space="preserve">                    </w:t>
      </w:r>
      <w:r>
        <w:rPr>
          <w:rFonts w:ascii="宋体" w:cs="宋体"/>
          <w:b/>
          <w:bCs/>
          <w:snapToGrid w:val="0"/>
          <w:color w:val="000000"/>
          <w:kern w:val="0"/>
          <w:sz w:val="30"/>
          <w:szCs w:val="30"/>
          <w:u w:val="single"/>
        </w:rPr>
        <w:t xml:space="preserve">  </w:t>
      </w:r>
      <w:r>
        <w:rPr>
          <w:rFonts w:hint="eastAsia" w:ascii="宋体" w:cs="宋体"/>
          <w:b/>
          <w:bCs/>
          <w:snapToGrid w:val="0"/>
          <w:color w:val="000000"/>
          <w:kern w:val="0"/>
          <w:sz w:val="30"/>
          <w:szCs w:val="30"/>
          <w:u w:val="single"/>
        </w:rPr>
        <w:t xml:space="preserve"> </w:t>
      </w:r>
      <w:r>
        <w:rPr>
          <w:rFonts w:ascii="宋体" w:cs="宋体"/>
          <w:b/>
          <w:bCs/>
          <w:snapToGrid w:val="0"/>
          <w:color w:val="000000"/>
          <w:kern w:val="0"/>
          <w:sz w:val="30"/>
          <w:szCs w:val="30"/>
          <w:u w:val="single"/>
        </w:rPr>
        <w:t xml:space="preserve">     </w:t>
      </w:r>
    </w:p>
    <w:p w14:paraId="2054E0D4">
      <w:pPr>
        <w:widowControl/>
        <w:kinsoku w:val="0"/>
        <w:autoSpaceDE w:val="0"/>
        <w:autoSpaceDN w:val="0"/>
        <w:adjustRightInd w:val="0"/>
        <w:snapToGrid w:val="0"/>
        <w:spacing w:before="98" w:line="386" w:lineRule="auto"/>
        <w:ind w:left="684" w:firstLine="166" w:firstLineChars="55"/>
        <w:jc w:val="left"/>
        <w:textAlignment w:val="baseline"/>
        <w:rPr>
          <w:rFonts w:ascii="宋体" w:cs="宋体"/>
          <w:b/>
          <w:bCs/>
          <w:snapToGrid w:val="0"/>
          <w:color w:val="000000"/>
          <w:kern w:val="0"/>
          <w:sz w:val="30"/>
          <w:szCs w:val="30"/>
        </w:rPr>
      </w:pPr>
      <w:r>
        <w:rPr>
          <w:rFonts w:ascii="宋体" w:cs="宋体"/>
          <w:b/>
          <w:bCs/>
          <w:snapToGrid w:val="0"/>
          <w:color w:val="000000"/>
          <w:kern w:val="0"/>
          <w:sz w:val="30"/>
          <w:szCs w:val="30"/>
        </w:rPr>
        <w:t>甲    方：</w:t>
      </w:r>
      <w:r>
        <w:rPr>
          <w:rFonts w:hint="eastAsia" w:ascii="宋体" w:cs="宋体"/>
          <w:b/>
          <w:bCs/>
          <w:snapToGrid w:val="0"/>
          <w:color w:val="000000"/>
          <w:kern w:val="0"/>
          <w:sz w:val="30"/>
          <w:szCs w:val="30"/>
        </w:rPr>
        <w:t xml:space="preserve"> </w:t>
      </w:r>
      <w:r>
        <w:rPr>
          <w:rFonts w:hint="eastAsia" w:ascii="宋体" w:cs="宋体"/>
          <w:b/>
          <w:bCs/>
          <w:snapToGrid w:val="0"/>
          <w:color w:val="000000"/>
          <w:kern w:val="0"/>
          <w:sz w:val="30"/>
          <w:szCs w:val="30"/>
          <w:u w:val="single"/>
        </w:rPr>
        <w:t xml:space="preserve">                           </w:t>
      </w:r>
      <w:r>
        <w:rPr>
          <w:rFonts w:ascii="宋体" w:cs="宋体"/>
          <w:b/>
          <w:bCs/>
          <w:snapToGrid w:val="0"/>
          <w:color w:val="000000"/>
          <w:kern w:val="0"/>
          <w:sz w:val="30"/>
          <w:szCs w:val="30"/>
          <w:u w:val="single"/>
        </w:rPr>
        <w:t xml:space="preserve">      </w:t>
      </w:r>
    </w:p>
    <w:p w14:paraId="36D94773">
      <w:pPr>
        <w:widowControl/>
        <w:kinsoku w:val="0"/>
        <w:autoSpaceDE w:val="0"/>
        <w:autoSpaceDN w:val="0"/>
        <w:adjustRightInd w:val="0"/>
        <w:snapToGrid w:val="0"/>
        <w:spacing w:before="98" w:line="386" w:lineRule="auto"/>
        <w:ind w:left="684" w:firstLine="166" w:firstLineChars="55"/>
        <w:jc w:val="left"/>
        <w:textAlignment w:val="baseline"/>
        <w:rPr>
          <w:rFonts w:ascii="宋体" w:cs="宋体"/>
          <w:b/>
          <w:bCs/>
          <w:snapToGrid w:val="0"/>
          <w:color w:val="000000"/>
          <w:kern w:val="0"/>
          <w:sz w:val="30"/>
          <w:szCs w:val="30"/>
        </w:rPr>
      </w:pPr>
      <w:r>
        <w:rPr>
          <w:rFonts w:ascii="宋体" w:cs="宋体"/>
          <w:b/>
          <w:bCs/>
          <w:snapToGrid w:val="0"/>
          <w:color w:val="000000"/>
          <w:kern w:val="0"/>
          <w:sz w:val="30"/>
          <w:szCs w:val="30"/>
        </w:rPr>
        <w:t xml:space="preserve">乙   </w:t>
      </w:r>
      <w:r>
        <w:rPr>
          <w:rFonts w:hint="eastAsia" w:ascii="宋体" w:cs="宋体"/>
          <w:b/>
          <w:bCs/>
          <w:snapToGrid w:val="0"/>
          <w:color w:val="000000"/>
          <w:kern w:val="0"/>
          <w:sz w:val="30"/>
          <w:szCs w:val="30"/>
        </w:rPr>
        <w:t xml:space="preserve"> </w:t>
      </w:r>
      <w:r>
        <w:rPr>
          <w:rFonts w:ascii="宋体" w:cs="宋体"/>
          <w:b/>
          <w:bCs/>
          <w:snapToGrid w:val="0"/>
          <w:color w:val="000000"/>
          <w:kern w:val="0"/>
          <w:sz w:val="30"/>
          <w:szCs w:val="30"/>
        </w:rPr>
        <w:t xml:space="preserve">方： </w:t>
      </w:r>
      <w:r>
        <w:rPr>
          <w:rFonts w:ascii="宋体" w:cs="宋体"/>
          <w:b/>
          <w:bCs/>
          <w:snapToGrid w:val="0"/>
          <w:color w:val="000000"/>
          <w:kern w:val="0"/>
          <w:sz w:val="30"/>
          <w:szCs w:val="30"/>
          <w:u w:val="single"/>
        </w:rPr>
        <w:t xml:space="preserve">     </w:t>
      </w:r>
      <w:r>
        <w:rPr>
          <w:rFonts w:hint="eastAsia" w:ascii="宋体" w:cs="宋体"/>
          <w:b/>
          <w:bCs/>
          <w:snapToGrid w:val="0"/>
          <w:color w:val="000000"/>
          <w:kern w:val="0"/>
          <w:sz w:val="30"/>
          <w:szCs w:val="30"/>
          <w:u w:val="single"/>
        </w:rPr>
        <w:t xml:space="preserve">                   </w:t>
      </w:r>
      <w:r>
        <w:rPr>
          <w:rFonts w:ascii="宋体" w:cs="宋体"/>
          <w:b/>
          <w:bCs/>
          <w:snapToGrid w:val="0"/>
          <w:color w:val="000000"/>
          <w:kern w:val="0"/>
          <w:sz w:val="30"/>
          <w:szCs w:val="30"/>
          <w:u w:val="single"/>
        </w:rPr>
        <w:t xml:space="preserve">  </w:t>
      </w:r>
      <w:r>
        <w:rPr>
          <w:rFonts w:hint="eastAsia" w:ascii="宋体" w:cs="宋体"/>
          <w:b/>
          <w:bCs/>
          <w:snapToGrid w:val="0"/>
          <w:color w:val="000000"/>
          <w:kern w:val="0"/>
          <w:sz w:val="30"/>
          <w:szCs w:val="30"/>
          <w:u w:val="single"/>
        </w:rPr>
        <w:t xml:space="preserve"> </w:t>
      </w:r>
      <w:r>
        <w:rPr>
          <w:rFonts w:ascii="宋体" w:cs="宋体"/>
          <w:b/>
          <w:bCs/>
          <w:snapToGrid w:val="0"/>
          <w:color w:val="000000"/>
          <w:kern w:val="0"/>
          <w:sz w:val="30"/>
          <w:szCs w:val="30"/>
          <w:u w:val="single"/>
        </w:rPr>
        <w:t xml:space="preserve">      </w:t>
      </w:r>
    </w:p>
    <w:p w14:paraId="4378EDB5">
      <w:pPr>
        <w:widowControl/>
        <w:kinsoku w:val="0"/>
        <w:autoSpaceDE w:val="0"/>
        <w:autoSpaceDN w:val="0"/>
        <w:adjustRightInd w:val="0"/>
        <w:snapToGrid w:val="0"/>
        <w:spacing w:before="98" w:line="386" w:lineRule="auto"/>
        <w:ind w:left="684" w:firstLine="166" w:firstLineChars="55"/>
        <w:jc w:val="left"/>
        <w:textAlignment w:val="baseline"/>
        <w:rPr>
          <w:rFonts w:ascii="宋体"/>
          <w:szCs w:val="21"/>
        </w:rPr>
      </w:pPr>
      <w:r>
        <w:rPr>
          <w:rFonts w:hint="eastAsia" w:ascii="宋体" w:cs="宋体"/>
          <w:b/>
          <w:bCs/>
          <w:snapToGrid w:val="0"/>
          <w:color w:val="000000"/>
          <w:kern w:val="0"/>
          <w:sz w:val="30"/>
          <w:szCs w:val="30"/>
        </w:rPr>
        <w:t>签订时间：</w:t>
      </w:r>
      <w:r>
        <w:rPr>
          <w:rFonts w:ascii="宋体" w:cs="Arial"/>
          <w:b/>
          <w:bCs/>
          <w:snapToGrid w:val="0"/>
          <w:color w:val="000000"/>
          <w:kern w:val="0"/>
          <w:szCs w:val="21"/>
        </w:rPr>
        <w:t xml:space="preserve"> </w:t>
      </w:r>
      <w:r>
        <w:rPr>
          <w:rFonts w:ascii="宋体" w:cs="Arial"/>
          <w:b/>
          <w:bCs/>
          <w:snapToGrid w:val="0"/>
          <w:color w:val="000000"/>
          <w:kern w:val="0"/>
          <w:szCs w:val="21"/>
          <w:u w:val="single"/>
        </w:rPr>
        <w:t xml:space="preserve">     </w:t>
      </w:r>
      <w:r>
        <w:rPr>
          <w:rFonts w:hint="eastAsia" w:ascii="宋体" w:cs="Arial"/>
          <w:b/>
          <w:bCs/>
          <w:snapToGrid w:val="0"/>
          <w:color w:val="000000"/>
          <w:kern w:val="0"/>
          <w:szCs w:val="21"/>
          <w:u w:val="single"/>
        </w:rPr>
        <w:t xml:space="preserve">                                      </w:t>
      </w:r>
      <w:r>
        <w:rPr>
          <w:rFonts w:ascii="宋体" w:cs="Arial"/>
          <w:b/>
          <w:bCs/>
          <w:snapToGrid w:val="0"/>
          <w:color w:val="000000"/>
          <w:kern w:val="0"/>
          <w:szCs w:val="21"/>
          <w:u w:val="single"/>
        </w:rPr>
        <w:t xml:space="preserve">     </w:t>
      </w:r>
    </w:p>
    <w:p w14:paraId="086490EB">
      <w:pPr>
        <w:jc w:val="center"/>
        <w:rPr>
          <w:b/>
          <w:sz w:val="52"/>
          <w:szCs w:val="52"/>
        </w:rPr>
      </w:pPr>
    </w:p>
    <w:p w14:paraId="75D0CD4D">
      <w:pPr>
        <w:tabs>
          <w:tab w:val="left" w:pos="1875"/>
        </w:tabs>
      </w:pPr>
    </w:p>
    <w:p w14:paraId="31874278">
      <w:pPr>
        <w:tabs>
          <w:tab w:val="left" w:pos="1875"/>
        </w:tabs>
      </w:pPr>
    </w:p>
    <w:p w14:paraId="16FAD1A5">
      <w:pPr>
        <w:tabs>
          <w:tab w:val="left" w:pos="1875"/>
        </w:tabs>
      </w:pPr>
    </w:p>
    <w:p w14:paraId="4E460B4E">
      <w:pPr>
        <w:tabs>
          <w:tab w:val="left" w:pos="1875"/>
        </w:tabs>
      </w:pPr>
    </w:p>
    <w:p w14:paraId="4ABEEAAC">
      <w:pPr>
        <w:tabs>
          <w:tab w:val="left" w:pos="1875"/>
        </w:tabs>
      </w:pPr>
    </w:p>
    <w:p w14:paraId="1EC393A2">
      <w:pPr>
        <w:tabs>
          <w:tab w:val="left" w:pos="1875"/>
        </w:tabs>
      </w:pPr>
    </w:p>
    <w:p w14:paraId="77266B3B">
      <w:pPr>
        <w:tabs>
          <w:tab w:val="left" w:pos="1875"/>
        </w:tabs>
      </w:pPr>
    </w:p>
    <w:p w14:paraId="214F22A2">
      <w:pPr>
        <w:tabs>
          <w:tab w:val="left" w:pos="1875"/>
        </w:tabs>
      </w:pPr>
    </w:p>
    <w:p w14:paraId="082D60CC">
      <w:pPr>
        <w:tabs>
          <w:tab w:val="left" w:pos="1875"/>
        </w:tabs>
      </w:pPr>
    </w:p>
    <w:p w14:paraId="170DE79B">
      <w:pPr>
        <w:tabs>
          <w:tab w:val="left" w:pos="1875"/>
        </w:tabs>
      </w:pPr>
    </w:p>
    <w:p w14:paraId="7E4F8250">
      <w:pPr>
        <w:widowControl/>
        <w:kinsoku w:val="0"/>
        <w:autoSpaceDE w:val="0"/>
        <w:autoSpaceDN w:val="0"/>
        <w:adjustRightInd w:val="0"/>
        <w:snapToGrid w:val="0"/>
        <w:spacing w:before="91" w:line="223" w:lineRule="auto"/>
        <w:jc w:val="center"/>
        <w:textAlignment w:val="baseline"/>
        <w:rPr>
          <w:rFonts w:ascii="宋体" w:cs="黑体"/>
          <w:snapToGrid w:val="0"/>
          <w:color w:val="000000"/>
          <w:kern w:val="0"/>
          <w:sz w:val="28"/>
          <w:szCs w:val="28"/>
        </w:rPr>
      </w:pPr>
      <w:r>
        <w:rPr>
          <w:rFonts w:ascii="宋体" w:cs="黑体"/>
          <w:b/>
          <w:bCs/>
          <w:snapToGrid w:val="0"/>
          <w:color w:val="000000"/>
          <w:spacing w:val="6"/>
          <w:kern w:val="0"/>
          <w:sz w:val="28"/>
          <w:szCs w:val="28"/>
        </w:rPr>
        <w:t>第一节</w:t>
      </w:r>
      <w:r>
        <w:rPr>
          <w:rFonts w:hint="eastAsia" w:ascii="宋体" w:cs="黑体"/>
          <w:b/>
          <w:bCs/>
          <w:snapToGrid w:val="0"/>
          <w:color w:val="000000"/>
          <w:spacing w:val="6"/>
          <w:kern w:val="0"/>
          <w:sz w:val="28"/>
          <w:szCs w:val="28"/>
        </w:rPr>
        <w:t xml:space="preserve"> </w:t>
      </w:r>
      <w:r>
        <w:rPr>
          <w:rFonts w:ascii="宋体" w:cs="黑体"/>
          <w:b/>
          <w:bCs/>
          <w:snapToGrid w:val="0"/>
          <w:color w:val="000000"/>
          <w:spacing w:val="6"/>
          <w:kern w:val="0"/>
          <w:sz w:val="28"/>
          <w:szCs w:val="28"/>
        </w:rPr>
        <w:t>政府采购合同协议书</w:t>
      </w:r>
    </w:p>
    <w:p w14:paraId="261EF77F">
      <w:pPr>
        <w:widowControl/>
        <w:kinsoku w:val="0"/>
        <w:autoSpaceDE w:val="0"/>
        <w:autoSpaceDN w:val="0"/>
        <w:adjustRightInd w:val="0"/>
        <w:snapToGrid w:val="0"/>
        <w:spacing w:line="437" w:lineRule="auto"/>
        <w:jc w:val="left"/>
        <w:textAlignment w:val="baseline"/>
        <w:rPr>
          <w:rFonts w:ascii="宋体" w:cs="Arial"/>
          <w:snapToGrid w:val="0"/>
          <w:color w:val="000000"/>
          <w:kern w:val="0"/>
          <w:szCs w:val="21"/>
        </w:rPr>
      </w:pPr>
    </w:p>
    <w:p w14:paraId="09FF0154">
      <w:pPr>
        <w:spacing w:line="400" w:lineRule="exact"/>
        <w:ind w:left="4536" w:leftChars="200" w:hanging="4116" w:hangingChars="1960"/>
        <w:rPr>
          <w:rFonts w:ascii="宋体" w:cs="宋体"/>
          <w:bCs/>
          <w:szCs w:val="21"/>
        </w:rPr>
      </w:pPr>
      <w:r>
        <w:rPr>
          <w:rFonts w:ascii="宋体" w:cs="宋体"/>
          <w:bCs/>
          <w:szCs w:val="21"/>
        </w:rPr>
        <w:t>甲</w:t>
      </w:r>
      <w:r>
        <w:rPr>
          <w:rFonts w:hint="eastAsia" w:ascii="宋体" w:cs="宋体"/>
          <w:bCs/>
          <w:szCs w:val="21"/>
        </w:rPr>
        <w:t xml:space="preserve">  </w:t>
      </w:r>
      <w:r>
        <w:rPr>
          <w:rFonts w:ascii="宋体" w:cs="宋体"/>
          <w:bCs/>
          <w:szCs w:val="21"/>
        </w:rPr>
        <w:t>方(全称):</w:t>
      </w:r>
      <w:r>
        <w:rPr>
          <w:rFonts w:ascii="宋体" w:cs="宋体"/>
          <w:bCs/>
          <w:szCs w:val="21"/>
          <w:u w:val="single"/>
        </w:rPr>
        <w:t xml:space="preserve">                      </w:t>
      </w:r>
      <w:r>
        <w:rPr>
          <w:rFonts w:hint="eastAsia" w:ascii="宋体" w:cs="宋体"/>
          <w:bCs/>
          <w:szCs w:val="21"/>
          <w:u w:val="single"/>
        </w:rPr>
        <w:t xml:space="preserve"> </w:t>
      </w:r>
      <w:r>
        <w:rPr>
          <w:rFonts w:ascii="宋体" w:cs="宋体"/>
          <w:bCs/>
          <w:szCs w:val="21"/>
          <w:u w:val="single"/>
        </w:rPr>
        <w:t xml:space="preserve">   </w:t>
      </w:r>
      <w:r>
        <w:rPr>
          <w:rFonts w:ascii="宋体" w:cs="宋体"/>
          <w:bCs/>
          <w:szCs w:val="21"/>
        </w:rPr>
        <w:t>(采购人、受采购人委托签订合同的单位或采购文件约定的合同甲方)</w:t>
      </w:r>
    </w:p>
    <w:p w14:paraId="76F4B79F">
      <w:pPr>
        <w:spacing w:line="400" w:lineRule="exact"/>
        <w:ind w:firstLine="420" w:firstLineChars="200"/>
        <w:rPr>
          <w:rFonts w:ascii="宋体" w:cs="宋体"/>
          <w:bCs/>
          <w:szCs w:val="21"/>
        </w:rPr>
      </w:pPr>
      <w:r>
        <w:rPr>
          <w:rFonts w:ascii="宋体" w:cs="宋体"/>
          <w:bCs/>
          <w:szCs w:val="21"/>
        </w:rPr>
        <w:t>乙方 1(全称)</w:t>
      </w:r>
      <w:r>
        <w:rPr>
          <w:rFonts w:hint="eastAsia" w:ascii="宋体" w:cs="宋体"/>
          <w:bCs/>
          <w:szCs w:val="21"/>
        </w:rPr>
        <w:t>：</w:t>
      </w:r>
      <w:r>
        <w:rPr>
          <w:rFonts w:ascii="宋体" w:cs="宋体"/>
          <w:bCs/>
          <w:szCs w:val="21"/>
          <w:u w:val="single"/>
        </w:rPr>
        <w:t xml:space="preserve">                     </w:t>
      </w:r>
      <w:r>
        <w:rPr>
          <w:rFonts w:hint="eastAsia" w:ascii="宋体" w:cs="宋体"/>
          <w:bCs/>
          <w:szCs w:val="21"/>
          <w:u w:val="single"/>
        </w:rPr>
        <w:t xml:space="preserve">  </w:t>
      </w:r>
      <w:r>
        <w:rPr>
          <w:rFonts w:ascii="宋体" w:cs="宋体"/>
          <w:bCs/>
          <w:szCs w:val="21"/>
          <w:u w:val="single"/>
        </w:rPr>
        <w:t xml:space="preserve">  </w:t>
      </w:r>
      <w:r>
        <w:rPr>
          <w:rFonts w:ascii="宋体" w:cs="宋体"/>
          <w:bCs/>
          <w:szCs w:val="21"/>
        </w:rPr>
        <w:t>(供应商)</w:t>
      </w:r>
    </w:p>
    <w:p w14:paraId="506F731A">
      <w:pPr>
        <w:spacing w:line="400" w:lineRule="exact"/>
        <w:ind w:firstLine="420" w:firstLineChars="200"/>
        <w:rPr>
          <w:rFonts w:ascii="宋体" w:cs="宋体"/>
          <w:bCs/>
          <w:szCs w:val="21"/>
        </w:rPr>
      </w:pPr>
      <w:r>
        <w:rPr>
          <w:rFonts w:ascii="宋体" w:cs="宋体"/>
          <w:bCs/>
          <w:szCs w:val="21"/>
        </w:rPr>
        <w:t>乙方2(全称)</w:t>
      </w:r>
      <w:r>
        <w:rPr>
          <w:rFonts w:hint="eastAsia" w:ascii="宋体" w:cs="宋体"/>
          <w:bCs/>
          <w:szCs w:val="21"/>
        </w:rPr>
        <w:t>：</w:t>
      </w:r>
      <w:r>
        <w:rPr>
          <w:rFonts w:ascii="宋体" w:cs="宋体"/>
          <w:bCs/>
          <w:szCs w:val="21"/>
          <w:u w:val="single"/>
        </w:rPr>
        <w:t xml:space="preserve">                    </w:t>
      </w:r>
      <w:r>
        <w:rPr>
          <w:rFonts w:hint="eastAsia" w:ascii="宋体" w:cs="宋体"/>
          <w:bCs/>
          <w:szCs w:val="21"/>
          <w:u w:val="single"/>
        </w:rPr>
        <w:t xml:space="preserve">    </w:t>
      </w:r>
      <w:r>
        <w:rPr>
          <w:rFonts w:ascii="宋体" w:cs="宋体"/>
          <w:bCs/>
          <w:szCs w:val="21"/>
          <w:u w:val="single"/>
        </w:rPr>
        <w:t xml:space="preserve">  </w:t>
      </w:r>
      <w:r>
        <w:rPr>
          <w:rFonts w:ascii="宋体" w:cs="宋体"/>
          <w:bCs/>
          <w:szCs w:val="21"/>
        </w:rPr>
        <w:t>(联合体成员供应商或其他合同主体)(如有)</w:t>
      </w:r>
    </w:p>
    <w:p w14:paraId="36A61570">
      <w:pPr>
        <w:spacing w:line="400" w:lineRule="exact"/>
        <w:ind w:firstLine="420" w:firstLineChars="200"/>
        <w:rPr>
          <w:rFonts w:ascii="宋体" w:cs="宋体"/>
          <w:bCs/>
          <w:szCs w:val="21"/>
        </w:rPr>
      </w:pPr>
      <w:r>
        <w:rPr>
          <w:rFonts w:ascii="宋体" w:cs="宋体"/>
          <w:bCs/>
          <w:szCs w:val="21"/>
        </w:rPr>
        <w:t>乙方3(全称)</w:t>
      </w:r>
      <w:r>
        <w:rPr>
          <w:rFonts w:hint="eastAsia" w:ascii="宋体" w:cs="宋体"/>
          <w:bCs/>
          <w:szCs w:val="21"/>
        </w:rPr>
        <w:t>：</w:t>
      </w:r>
      <w:r>
        <w:rPr>
          <w:rFonts w:ascii="宋体" w:cs="宋体"/>
          <w:bCs/>
          <w:szCs w:val="21"/>
          <w:u w:val="single"/>
        </w:rPr>
        <w:t xml:space="preserve">                          </w:t>
      </w:r>
      <w:r>
        <w:rPr>
          <w:rFonts w:ascii="宋体" w:cs="宋体"/>
          <w:bCs/>
          <w:szCs w:val="21"/>
        </w:rPr>
        <w:t>(联合体成员供应商或其他合同主体)(如有)</w:t>
      </w:r>
    </w:p>
    <w:p w14:paraId="2514AF49">
      <w:pPr>
        <w:widowControl/>
        <w:kinsoku w:val="0"/>
        <w:autoSpaceDE w:val="0"/>
        <w:autoSpaceDN w:val="0"/>
        <w:adjustRightInd w:val="0"/>
        <w:snapToGrid w:val="0"/>
        <w:spacing w:line="461" w:lineRule="auto"/>
        <w:jc w:val="left"/>
        <w:textAlignment w:val="baseline"/>
        <w:rPr>
          <w:rFonts w:ascii="宋体" w:cs="Arial"/>
          <w:snapToGrid w:val="0"/>
          <w:color w:val="000000"/>
          <w:kern w:val="0"/>
          <w:szCs w:val="21"/>
        </w:rPr>
      </w:pPr>
    </w:p>
    <w:p w14:paraId="710EAB53">
      <w:pPr>
        <w:spacing w:line="400" w:lineRule="exact"/>
        <w:ind w:firstLine="420" w:firstLineChars="200"/>
        <w:rPr>
          <w:rFonts w:ascii="宋体" w:cs="宋体"/>
          <w:bCs/>
          <w:szCs w:val="21"/>
        </w:rPr>
      </w:pPr>
      <w:r>
        <w:rPr>
          <w:rFonts w:ascii="宋体" w:cs="宋体"/>
          <w:bCs/>
          <w:szCs w:val="21"/>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41367E7E">
      <w:pPr>
        <w:spacing w:line="400" w:lineRule="exact"/>
        <w:ind w:firstLine="420" w:firstLineChars="200"/>
        <w:rPr>
          <w:rFonts w:ascii="宋体" w:cs="宋体"/>
          <w:bCs/>
          <w:szCs w:val="21"/>
        </w:rPr>
      </w:pPr>
      <w:r>
        <w:rPr>
          <w:rFonts w:ascii="宋体" w:cs="宋体"/>
          <w:bCs/>
          <w:szCs w:val="21"/>
        </w:rPr>
        <w:t>1. 项目信息</w:t>
      </w:r>
    </w:p>
    <w:p w14:paraId="24FD2F00">
      <w:pPr>
        <w:spacing w:line="400" w:lineRule="exact"/>
        <w:ind w:firstLine="420" w:firstLineChars="200"/>
        <w:rPr>
          <w:rFonts w:ascii="宋体" w:cs="宋体"/>
          <w:bCs/>
          <w:szCs w:val="21"/>
        </w:rPr>
      </w:pPr>
      <w:r>
        <w:rPr>
          <w:rFonts w:ascii="宋体" w:cs="宋体"/>
          <w:bCs/>
          <w:szCs w:val="21"/>
        </w:rPr>
        <w:t>(1)采购项目名称：</w:t>
      </w:r>
      <w:r>
        <w:rPr>
          <w:rFonts w:ascii="宋体" w:cs="宋体"/>
          <w:bCs/>
          <w:szCs w:val="21"/>
          <w:u w:val="single"/>
        </w:rPr>
        <w:t xml:space="preserve">                         </w:t>
      </w:r>
      <w:r>
        <w:rPr>
          <w:rFonts w:ascii="宋体" w:cs="宋体"/>
          <w:bCs/>
          <w:szCs w:val="21"/>
        </w:rPr>
        <w:t xml:space="preserve">                                            </w:t>
      </w:r>
    </w:p>
    <w:p w14:paraId="2C79C7B5">
      <w:pPr>
        <w:spacing w:line="400" w:lineRule="exact"/>
        <w:ind w:firstLine="420" w:firstLineChars="200"/>
        <w:rPr>
          <w:rFonts w:ascii="宋体" w:cs="宋体"/>
          <w:bCs/>
          <w:szCs w:val="21"/>
        </w:rPr>
      </w:pPr>
      <w:r>
        <w:rPr>
          <w:rFonts w:ascii="宋体" w:cs="宋体"/>
          <w:bCs/>
          <w:szCs w:val="21"/>
        </w:rPr>
        <w:t>采购项目编号：</w:t>
      </w:r>
      <w:r>
        <w:rPr>
          <w:rFonts w:ascii="宋体" w:cs="宋体"/>
          <w:bCs/>
          <w:szCs w:val="21"/>
          <w:u w:val="single"/>
        </w:rPr>
        <w:t xml:space="preserve">                         </w:t>
      </w:r>
      <w:r>
        <w:rPr>
          <w:rFonts w:ascii="宋体" w:cs="宋体"/>
          <w:bCs/>
          <w:szCs w:val="21"/>
        </w:rPr>
        <w:t xml:space="preserve">                                            </w:t>
      </w:r>
    </w:p>
    <w:p w14:paraId="6F90C5B6">
      <w:pPr>
        <w:spacing w:line="400" w:lineRule="exact"/>
        <w:ind w:firstLine="420" w:firstLineChars="200"/>
        <w:rPr>
          <w:rFonts w:ascii="宋体" w:cs="宋体"/>
          <w:bCs/>
          <w:szCs w:val="21"/>
        </w:rPr>
      </w:pPr>
      <w:r>
        <w:rPr>
          <w:rFonts w:ascii="宋体" w:cs="宋体"/>
          <w:bCs/>
          <w:szCs w:val="21"/>
        </w:rPr>
        <w:t>(2)采购计划编号：</w:t>
      </w:r>
      <w:r>
        <w:rPr>
          <w:rFonts w:ascii="宋体" w:cs="宋体"/>
          <w:bCs/>
          <w:szCs w:val="21"/>
          <w:u w:val="single"/>
        </w:rPr>
        <w:t xml:space="preserve">                         </w:t>
      </w:r>
      <w:r>
        <w:rPr>
          <w:rFonts w:ascii="宋体" w:cs="宋体"/>
          <w:bCs/>
          <w:szCs w:val="21"/>
        </w:rPr>
        <w:t xml:space="preserve">                                            </w:t>
      </w:r>
    </w:p>
    <w:p w14:paraId="64F8E2DA">
      <w:pPr>
        <w:spacing w:line="400" w:lineRule="exact"/>
        <w:ind w:firstLine="420" w:firstLineChars="200"/>
        <w:rPr>
          <w:rFonts w:ascii="宋体" w:cs="宋体"/>
          <w:bCs/>
          <w:szCs w:val="21"/>
        </w:rPr>
      </w:pPr>
      <w:r>
        <w:rPr>
          <w:rFonts w:ascii="宋体" w:cs="宋体"/>
          <w:bCs/>
          <w:szCs w:val="21"/>
        </w:rPr>
        <w:t>(3)项目内容：</w:t>
      </w:r>
      <w:r>
        <w:rPr>
          <w:rFonts w:ascii="宋体" w:cs="宋体"/>
          <w:bCs/>
          <w:szCs w:val="21"/>
          <w:u w:val="single"/>
        </w:rPr>
        <w:t xml:space="preserve">                         </w:t>
      </w:r>
    </w:p>
    <w:p w14:paraId="1286C22E">
      <w:pPr>
        <w:spacing w:line="400" w:lineRule="exact"/>
        <w:ind w:firstLine="420" w:firstLineChars="200"/>
        <w:rPr>
          <w:rFonts w:ascii="宋体" w:cs="宋体"/>
          <w:bCs/>
          <w:szCs w:val="21"/>
        </w:rPr>
      </w:pPr>
      <w:r>
        <w:rPr>
          <w:rFonts w:ascii="宋体" w:cs="宋体"/>
          <w:bCs/>
          <w:szCs w:val="21"/>
        </w:rPr>
        <w:t>采购标的及数量(台/套/个/架/组等):</w:t>
      </w:r>
      <w:r>
        <w:rPr>
          <w:rFonts w:ascii="宋体" w:cs="宋体"/>
          <w:bCs/>
          <w:szCs w:val="21"/>
          <w:u w:val="single"/>
        </w:rPr>
        <w:t xml:space="preserve">                         </w:t>
      </w:r>
      <w:r>
        <w:rPr>
          <w:rFonts w:ascii="宋体" w:cs="宋体"/>
          <w:bCs/>
          <w:szCs w:val="21"/>
        </w:rPr>
        <w:t xml:space="preserve">                         </w:t>
      </w:r>
    </w:p>
    <w:p w14:paraId="7AC1AD9F">
      <w:pPr>
        <w:spacing w:line="400" w:lineRule="exact"/>
        <w:ind w:firstLine="420" w:firstLineChars="200"/>
        <w:rPr>
          <w:rFonts w:ascii="宋体" w:cs="宋体"/>
          <w:bCs/>
          <w:szCs w:val="21"/>
        </w:rPr>
      </w:pPr>
      <w:r>
        <w:rPr>
          <w:rFonts w:ascii="宋体" w:cs="宋体"/>
          <w:bCs/>
          <w:szCs w:val="21"/>
        </w:rPr>
        <w:t>品牌：</w:t>
      </w:r>
      <w:r>
        <w:rPr>
          <w:rFonts w:ascii="宋体" w:cs="宋体"/>
          <w:bCs/>
          <w:szCs w:val="21"/>
          <w:u w:val="single"/>
        </w:rPr>
        <w:t xml:space="preserve">                         </w:t>
      </w:r>
      <w:r>
        <w:rPr>
          <w:rFonts w:ascii="宋体" w:cs="宋体"/>
          <w:bCs/>
          <w:szCs w:val="21"/>
        </w:rPr>
        <w:t xml:space="preserve">  规格型号：</w:t>
      </w:r>
      <w:r>
        <w:rPr>
          <w:rFonts w:ascii="宋体" w:cs="宋体"/>
          <w:bCs/>
          <w:szCs w:val="21"/>
          <w:u w:val="single"/>
        </w:rPr>
        <w:t xml:space="preserve">                         </w:t>
      </w:r>
      <w:r>
        <w:rPr>
          <w:rFonts w:ascii="宋体" w:cs="宋体"/>
          <w:bCs/>
          <w:szCs w:val="21"/>
        </w:rPr>
        <w:t xml:space="preserve">                 </w:t>
      </w:r>
    </w:p>
    <w:p w14:paraId="2EC46A19">
      <w:pPr>
        <w:spacing w:line="400" w:lineRule="exact"/>
        <w:ind w:firstLine="420" w:firstLineChars="200"/>
        <w:rPr>
          <w:rFonts w:ascii="宋体" w:cs="宋体"/>
          <w:bCs/>
          <w:szCs w:val="21"/>
        </w:rPr>
      </w:pPr>
      <w:r>
        <w:rPr>
          <w:rFonts w:ascii="宋体" w:cs="宋体"/>
          <w:bCs/>
          <w:szCs w:val="21"/>
        </w:rPr>
        <w:t>采购标的的技术要求、商务要求具体见附件。</w:t>
      </w:r>
    </w:p>
    <w:p w14:paraId="6E5DA4B0">
      <w:pPr>
        <w:spacing w:line="400" w:lineRule="exact"/>
        <w:ind w:firstLine="420" w:firstLineChars="200"/>
        <w:rPr>
          <w:rFonts w:ascii="宋体" w:cs="宋体"/>
          <w:bCs/>
          <w:szCs w:val="21"/>
        </w:rPr>
      </w:pPr>
      <w:r>
        <w:rPr>
          <w:rFonts w:ascii="宋体" w:cs="宋体"/>
          <w:bCs/>
          <w:szCs w:val="21"/>
        </w:rPr>
        <w:t>①涉及信息类产品，请填写该产品关键部件的品牌、型号：</w:t>
      </w:r>
    </w:p>
    <w:p w14:paraId="2591C0D9">
      <w:pPr>
        <w:spacing w:line="400" w:lineRule="exact"/>
        <w:ind w:firstLine="420" w:firstLineChars="200"/>
        <w:rPr>
          <w:rFonts w:ascii="宋体" w:cs="宋体"/>
          <w:bCs/>
          <w:szCs w:val="21"/>
        </w:rPr>
      </w:pPr>
      <w:r>
        <w:rPr>
          <w:rFonts w:ascii="宋体" w:cs="宋体"/>
          <w:bCs/>
          <w:szCs w:val="21"/>
        </w:rPr>
        <w:t>标的名称：</w:t>
      </w:r>
      <w:r>
        <w:rPr>
          <w:rFonts w:ascii="宋体" w:cs="宋体"/>
          <w:bCs/>
          <w:szCs w:val="21"/>
          <w:u w:val="single"/>
        </w:rPr>
        <w:t xml:space="preserve">                         </w:t>
      </w:r>
      <w:r>
        <w:rPr>
          <w:rFonts w:ascii="宋体" w:cs="宋体"/>
          <w:bCs/>
          <w:szCs w:val="21"/>
        </w:rPr>
        <w:t xml:space="preserve">                           </w:t>
      </w:r>
    </w:p>
    <w:p w14:paraId="255F0682">
      <w:pPr>
        <w:spacing w:line="400" w:lineRule="exact"/>
        <w:ind w:firstLine="420" w:firstLineChars="200"/>
        <w:rPr>
          <w:rFonts w:ascii="宋体" w:cs="宋体"/>
          <w:bCs/>
          <w:szCs w:val="21"/>
        </w:rPr>
      </w:pPr>
      <w:r>
        <w:rPr>
          <w:rFonts w:ascii="宋体" w:cs="宋体"/>
          <w:bCs/>
          <w:szCs w:val="21"/>
        </w:rPr>
        <w:t>关键部件：</w:t>
      </w:r>
      <w:r>
        <w:rPr>
          <w:rFonts w:ascii="宋体" w:cs="宋体"/>
          <w:snapToGrid w:val="0"/>
          <w:color w:val="000000"/>
          <w:kern w:val="0"/>
          <w:szCs w:val="21"/>
          <w:u w:val="single"/>
        </w:rPr>
        <w:t xml:space="preserve">      </w:t>
      </w:r>
      <w:r>
        <w:rPr>
          <w:rFonts w:ascii="宋体" w:cs="宋体"/>
          <w:snapToGrid w:val="0"/>
          <w:color w:val="000000"/>
          <w:kern w:val="0"/>
          <w:szCs w:val="21"/>
        </w:rPr>
        <w:t xml:space="preserve"> </w:t>
      </w:r>
      <w:r>
        <w:rPr>
          <w:rFonts w:ascii="宋体" w:cs="宋体"/>
          <w:bCs/>
          <w:szCs w:val="21"/>
        </w:rPr>
        <w:t>品牌：</w:t>
      </w:r>
      <w:r>
        <w:rPr>
          <w:rFonts w:ascii="宋体" w:cs="宋体"/>
          <w:snapToGrid w:val="0"/>
          <w:color w:val="000000"/>
          <w:kern w:val="0"/>
          <w:szCs w:val="21"/>
          <w:u w:val="single"/>
        </w:rPr>
        <w:t xml:space="preserve">      </w:t>
      </w:r>
      <w:r>
        <w:rPr>
          <w:rFonts w:ascii="宋体" w:cs="宋体"/>
          <w:snapToGrid w:val="0"/>
          <w:color w:val="000000"/>
          <w:kern w:val="0"/>
          <w:szCs w:val="21"/>
        </w:rPr>
        <w:t xml:space="preserve"> </w:t>
      </w:r>
      <w:r>
        <w:rPr>
          <w:rFonts w:ascii="宋体" w:cs="宋体"/>
          <w:bCs/>
          <w:szCs w:val="21"/>
        </w:rPr>
        <w:t>型号：</w:t>
      </w:r>
      <w:r>
        <w:rPr>
          <w:rFonts w:ascii="宋体" w:cs="宋体"/>
          <w:snapToGrid w:val="0"/>
          <w:color w:val="000000"/>
          <w:kern w:val="0"/>
          <w:szCs w:val="21"/>
          <w:u w:val="single"/>
        </w:rPr>
        <w:t xml:space="preserve">      </w:t>
      </w:r>
      <w:r>
        <w:rPr>
          <w:rFonts w:ascii="宋体" w:cs="宋体"/>
          <w:snapToGrid w:val="0"/>
          <w:color w:val="000000"/>
          <w:kern w:val="0"/>
          <w:szCs w:val="21"/>
        </w:rPr>
        <w:t xml:space="preserve"> </w:t>
      </w:r>
      <w:r>
        <w:rPr>
          <w:rFonts w:ascii="宋体" w:cs="宋体"/>
          <w:bCs/>
          <w:szCs w:val="21"/>
        </w:rPr>
        <w:t xml:space="preserve">         </w:t>
      </w:r>
    </w:p>
    <w:p w14:paraId="6D538C62">
      <w:pPr>
        <w:spacing w:line="400" w:lineRule="exact"/>
        <w:ind w:firstLine="420" w:firstLineChars="200"/>
        <w:rPr>
          <w:rFonts w:ascii="宋体" w:cs="宋体"/>
          <w:bCs/>
          <w:szCs w:val="21"/>
        </w:rPr>
      </w:pPr>
      <w:r>
        <w:rPr>
          <w:rFonts w:ascii="宋体" w:cs="宋体"/>
          <w:bCs/>
          <w:szCs w:val="21"/>
        </w:rPr>
        <w:t>关键部件：</w:t>
      </w:r>
      <w:r>
        <w:rPr>
          <w:rFonts w:ascii="宋体" w:cs="宋体"/>
          <w:snapToGrid w:val="0"/>
          <w:color w:val="000000"/>
          <w:kern w:val="0"/>
          <w:szCs w:val="21"/>
          <w:u w:val="single"/>
        </w:rPr>
        <w:t xml:space="preserve">      </w:t>
      </w:r>
      <w:r>
        <w:rPr>
          <w:rFonts w:ascii="宋体" w:cs="宋体"/>
          <w:snapToGrid w:val="0"/>
          <w:color w:val="000000"/>
          <w:kern w:val="0"/>
          <w:szCs w:val="21"/>
        </w:rPr>
        <w:t xml:space="preserve"> </w:t>
      </w:r>
      <w:r>
        <w:rPr>
          <w:rFonts w:ascii="宋体" w:cs="宋体"/>
          <w:bCs/>
          <w:szCs w:val="21"/>
        </w:rPr>
        <w:t>品牌：</w:t>
      </w:r>
      <w:r>
        <w:rPr>
          <w:rFonts w:ascii="宋体" w:cs="宋体"/>
          <w:snapToGrid w:val="0"/>
          <w:color w:val="000000"/>
          <w:kern w:val="0"/>
          <w:szCs w:val="21"/>
          <w:u w:val="single"/>
        </w:rPr>
        <w:t xml:space="preserve">      </w:t>
      </w:r>
      <w:r>
        <w:rPr>
          <w:rFonts w:ascii="宋体" w:cs="宋体"/>
          <w:snapToGrid w:val="0"/>
          <w:color w:val="000000"/>
          <w:kern w:val="0"/>
          <w:szCs w:val="21"/>
        </w:rPr>
        <w:t xml:space="preserve"> </w:t>
      </w:r>
      <w:r>
        <w:rPr>
          <w:rFonts w:ascii="宋体" w:cs="宋体"/>
          <w:bCs/>
          <w:szCs w:val="21"/>
        </w:rPr>
        <w:t>型号：</w:t>
      </w:r>
      <w:r>
        <w:rPr>
          <w:rFonts w:ascii="宋体" w:cs="宋体"/>
          <w:snapToGrid w:val="0"/>
          <w:color w:val="000000"/>
          <w:kern w:val="0"/>
          <w:szCs w:val="21"/>
          <w:u w:val="single"/>
        </w:rPr>
        <w:t xml:space="preserve">      </w:t>
      </w:r>
      <w:r>
        <w:rPr>
          <w:rFonts w:ascii="宋体" w:cs="宋体"/>
          <w:snapToGrid w:val="0"/>
          <w:color w:val="000000"/>
          <w:kern w:val="0"/>
          <w:szCs w:val="21"/>
        </w:rPr>
        <w:t xml:space="preserve"> </w:t>
      </w:r>
      <w:r>
        <w:rPr>
          <w:rFonts w:ascii="宋体" w:cs="宋体"/>
          <w:bCs/>
          <w:szCs w:val="21"/>
        </w:rPr>
        <w:t xml:space="preserve">         </w:t>
      </w:r>
    </w:p>
    <w:p w14:paraId="146F70B1">
      <w:pPr>
        <w:spacing w:line="400" w:lineRule="exact"/>
        <w:ind w:firstLine="420" w:firstLineChars="200"/>
        <w:rPr>
          <w:rFonts w:ascii="宋体" w:cs="宋体"/>
          <w:bCs/>
          <w:szCs w:val="21"/>
        </w:rPr>
      </w:pPr>
      <w:r>
        <w:rPr>
          <w:rFonts w:ascii="宋体" w:cs="宋体"/>
          <w:bCs/>
          <w:szCs w:val="21"/>
        </w:rPr>
        <w:t>关键部件：</w:t>
      </w:r>
      <w:r>
        <w:rPr>
          <w:rFonts w:ascii="宋体" w:cs="宋体"/>
          <w:snapToGrid w:val="0"/>
          <w:color w:val="000000"/>
          <w:kern w:val="0"/>
          <w:szCs w:val="21"/>
          <w:u w:val="single"/>
        </w:rPr>
        <w:t xml:space="preserve">      </w:t>
      </w:r>
      <w:r>
        <w:rPr>
          <w:rFonts w:ascii="宋体" w:cs="宋体"/>
          <w:snapToGrid w:val="0"/>
          <w:color w:val="000000"/>
          <w:kern w:val="0"/>
          <w:szCs w:val="21"/>
        </w:rPr>
        <w:t xml:space="preserve"> </w:t>
      </w:r>
      <w:r>
        <w:rPr>
          <w:rFonts w:ascii="宋体" w:cs="宋体"/>
          <w:bCs/>
          <w:szCs w:val="21"/>
        </w:rPr>
        <w:t>品牌：</w:t>
      </w:r>
      <w:r>
        <w:rPr>
          <w:rFonts w:ascii="宋体" w:cs="宋体"/>
          <w:snapToGrid w:val="0"/>
          <w:color w:val="000000"/>
          <w:kern w:val="0"/>
          <w:szCs w:val="21"/>
          <w:u w:val="single"/>
        </w:rPr>
        <w:t xml:space="preserve">      </w:t>
      </w:r>
      <w:r>
        <w:rPr>
          <w:rFonts w:ascii="宋体" w:cs="宋体"/>
          <w:snapToGrid w:val="0"/>
          <w:color w:val="000000"/>
          <w:kern w:val="0"/>
          <w:szCs w:val="21"/>
        </w:rPr>
        <w:t xml:space="preserve"> </w:t>
      </w:r>
      <w:r>
        <w:rPr>
          <w:rFonts w:ascii="宋体" w:cs="宋体"/>
          <w:bCs/>
          <w:szCs w:val="21"/>
        </w:rPr>
        <w:t>型号：</w:t>
      </w:r>
      <w:r>
        <w:rPr>
          <w:rFonts w:ascii="宋体" w:cs="宋体"/>
          <w:snapToGrid w:val="0"/>
          <w:color w:val="000000"/>
          <w:kern w:val="0"/>
          <w:szCs w:val="21"/>
          <w:u w:val="single"/>
        </w:rPr>
        <w:t xml:space="preserve">      </w:t>
      </w:r>
      <w:r>
        <w:rPr>
          <w:rFonts w:ascii="宋体" w:cs="宋体"/>
          <w:snapToGrid w:val="0"/>
          <w:color w:val="000000"/>
          <w:kern w:val="0"/>
          <w:szCs w:val="21"/>
        </w:rPr>
        <w:t xml:space="preserve"> </w:t>
      </w:r>
      <w:r>
        <w:rPr>
          <w:rFonts w:ascii="宋体" w:cs="宋体"/>
          <w:bCs/>
          <w:szCs w:val="21"/>
        </w:rPr>
        <w:t xml:space="preserve">         </w:t>
      </w:r>
    </w:p>
    <w:p w14:paraId="74C6ED39">
      <w:pPr>
        <w:spacing w:line="400" w:lineRule="exact"/>
        <w:ind w:firstLine="420" w:firstLineChars="200"/>
        <w:rPr>
          <w:rFonts w:ascii="宋体" w:cs="宋体"/>
          <w:bCs/>
          <w:szCs w:val="21"/>
        </w:rPr>
      </w:pPr>
      <w:r>
        <w:rPr>
          <w:rFonts w:ascii="宋体" w:cs="宋体"/>
          <w:bCs/>
          <w:szCs w:val="21"/>
        </w:rPr>
        <w:t>(注：关键部件是指财政部会同有关部门发布的政府采购需求标准规定的需要通过国家有关部门指定的测评机构开展的安全可靠测评的软硬件，如CPU芯片、操作系统、数据库等。)</w:t>
      </w:r>
    </w:p>
    <w:p w14:paraId="74587589">
      <w:pPr>
        <w:spacing w:line="400" w:lineRule="exact"/>
        <w:ind w:firstLine="420" w:firstLineChars="200"/>
        <w:rPr>
          <w:rFonts w:ascii="宋体" w:cs="宋体"/>
          <w:bCs/>
          <w:szCs w:val="21"/>
        </w:rPr>
      </w:pPr>
      <w:r>
        <w:rPr>
          <w:rFonts w:ascii="宋体" w:cs="宋体"/>
          <w:bCs/>
          <w:szCs w:val="21"/>
        </w:rPr>
        <w:t>②涉及车辆采购，请填写是否属于新能源汽车：</w:t>
      </w:r>
    </w:p>
    <w:p w14:paraId="590BC971">
      <w:pPr>
        <w:spacing w:line="400" w:lineRule="exact"/>
        <w:ind w:firstLine="420" w:firstLineChars="200"/>
        <w:rPr>
          <w:rFonts w:ascii="宋体" w:cs="宋体"/>
          <w:bCs/>
          <w:szCs w:val="21"/>
        </w:rPr>
      </w:pPr>
      <w:r>
        <w:rPr>
          <w:rFonts w:ascii="宋体" w:cs="宋体"/>
          <w:bCs/>
          <w:szCs w:val="21"/>
        </w:rPr>
        <w:t>□是， 《政府采购品目分类目录》底级品目名称</w:t>
      </w:r>
      <w:r>
        <w:rPr>
          <w:rFonts w:hint="eastAsia" w:ascii="宋体" w:cs="宋体"/>
          <w:bCs/>
          <w:szCs w:val="21"/>
        </w:rPr>
        <w:t>：</w:t>
      </w:r>
      <w:r>
        <w:rPr>
          <w:rFonts w:ascii="宋体" w:cs="宋体"/>
          <w:snapToGrid w:val="0"/>
          <w:color w:val="000000"/>
          <w:kern w:val="0"/>
          <w:szCs w:val="21"/>
          <w:u w:val="single"/>
        </w:rPr>
        <w:t xml:space="preserve">      </w:t>
      </w:r>
      <w:r>
        <w:rPr>
          <w:rFonts w:ascii="宋体" w:cs="宋体"/>
          <w:snapToGrid w:val="0"/>
          <w:color w:val="000000"/>
          <w:kern w:val="0"/>
          <w:szCs w:val="21"/>
        </w:rPr>
        <w:t xml:space="preserve"> </w:t>
      </w:r>
      <w:r>
        <w:rPr>
          <w:rFonts w:ascii="宋体" w:cs="宋体"/>
          <w:bCs/>
          <w:szCs w:val="21"/>
        </w:rPr>
        <w:t xml:space="preserve"> 数量：</w:t>
      </w:r>
      <w:r>
        <w:rPr>
          <w:rFonts w:ascii="宋体" w:cs="宋体"/>
          <w:snapToGrid w:val="0"/>
          <w:color w:val="000000"/>
          <w:kern w:val="0"/>
          <w:szCs w:val="21"/>
          <w:u w:val="single"/>
        </w:rPr>
        <w:t xml:space="preserve">      </w:t>
      </w:r>
      <w:r>
        <w:rPr>
          <w:rFonts w:ascii="宋体" w:cs="宋体"/>
          <w:snapToGrid w:val="0"/>
          <w:color w:val="000000"/>
          <w:kern w:val="0"/>
          <w:szCs w:val="21"/>
        </w:rPr>
        <w:t xml:space="preserve"> </w:t>
      </w:r>
      <w:r>
        <w:rPr>
          <w:rFonts w:ascii="宋体" w:cs="宋体"/>
          <w:bCs/>
          <w:szCs w:val="21"/>
        </w:rPr>
        <w:t xml:space="preserve"> 金额：</w:t>
      </w:r>
      <w:r>
        <w:rPr>
          <w:rFonts w:ascii="宋体" w:cs="宋体"/>
          <w:snapToGrid w:val="0"/>
          <w:color w:val="000000"/>
          <w:kern w:val="0"/>
          <w:szCs w:val="21"/>
          <w:u w:val="single"/>
        </w:rPr>
        <w:t xml:space="preserve">      </w:t>
      </w:r>
      <w:r>
        <w:rPr>
          <w:rFonts w:ascii="宋体" w:cs="宋体"/>
          <w:snapToGrid w:val="0"/>
          <w:color w:val="000000"/>
          <w:kern w:val="0"/>
          <w:szCs w:val="21"/>
        </w:rPr>
        <w:t xml:space="preserve"> </w:t>
      </w:r>
      <w:r>
        <w:rPr>
          <w:rFonts w:ascii="宋体" w:cs="宋体"/>
          <w:bCs/>
          <w:szCs w:val="21"/>
        </w:rPr>
        <w:t xml:space="preserve">     </w:t>
      </w:r>
    </w:p>
    <w:p w14:paraId="414BEA33">
      <w:pPr>
        <w:spacing w:line="400" w:lineRule="exact"/>
        <w:ind w:firstLine="420" w:firstLineChars="200"/>
        <w:rPr>
          <w:rFonts w:ascii="宋体" w:cs="宋体"/>
          <w:bCs/>
          <w:szCs w:val="21"/>
        </w:rPr>
      </w:pPr>
      <w:r>
        <w:rPr>
          <w:rFonts w:ascii="宋体" w:cs="宋体"/>
          <w:bCs/>
          <w:szCs w:val="21"/>
        </w:rPr>
        <w:t>口否</w:t>
      </w:r>
    </w:p>
    <w:p w14:paraId="4D0DACD1">
      <w:pPr>
        <w:spacing w:line="400" w:lineRule="exact"/>
        <w:ind w:firstLine="420" w:firstLineChars="200"/>
        <w:rPr>
          <w:rFonts w:ascii="宋体" w:cs="宋体"/>
          <w:bCs/>
          <w:szCs w:val="21"/>
        </w:rPr>
      </w:pPr>
      <w:r>
        <w:rPr>
          <w:rFonts w:ascii="宋体" w:cs="宋体"/>
          <w:bCs/>
          <w:szCs w:val="21"/>
        </w:rPr>
        <w:t>(4)政府采购组织形式：口政府集中采购  口部门集中采购  □分散采购</w:t>
      </w:r>
    </w:p>
    <w:p w14:paraId="30C61814">
      <w:pPr>
        <w:spacing w:line="400" w:lineRule="exact"/>
        <w:ind w:firstLine="420" w:firstLineChars="200"/>
        <w:rPr>
          <w:rFonts w:ascii="宋体" w:cs="宋体"/>
          <w:bCs/>
          <w:szCs w:val="21"/>
        </w:rPr>
      </w:pPr>
      <w:r>
        <w:rPr>
          <w:rFonts w:ascii="宋体" w:cs="宋体"/>
          <w:bCs/>
          <w:szCs w:val="21"/>
        </w:rPr>
        <w:t>(5)政府采购方式：□公开招标</w:t>
      </w:r>
      <w:r>
        <w:rPr>
          <w:rFonts w:hint="eastAsia" w:ascii="宋体" w:cs="宋体"/>
          <w:bCs/>
          <w:szCs w:val="21"/>
        </w:rPr>
        <w:t xml:space="preserve"> </w:t>
      </w:r>
      <w:r>
        <w:rPr>
          <w:rFonts w:ascii="宋体" w:cs="宋体"/>
          <w:bCs/>
          <w:szCs w:val="21"/>
        </w:rPr>
        <w:t>口邀请招标</w:t>
      </w:r>
      <w:r>
        <w:rPr>
          <w:rFonts w:hint="eastAsia" w:ascii="宋体" w:cs="宋体"/>
          <w:bCs/>
          <w:szCs w:val="21"/>
        </w:rPr>
        <w:t xml:space="preserve"> </w:t>
      </w:r>
      <w:r>
        <w:rPr>
          <w:rFonts w:ascii="宋体" w:cs="宋体"/>
          <w:bCs/>
          <w:szCs w:val="21"/>
        </w:rPr>
        <w:t>□竞争性谈判</w:t>
      </w:r>
      <w:r>
        <w:rPr>
          <w:rFonts w:hint="eastAsia" w:ascii="宋体" w:cs="宋体"/>
          <w:bCs/>
          <w:szCs w:val="21"/>
        </w:rPr>
        <w:t xml:space="preserve"> </w:t>
      </w:r>
      <w:r>
        <w:rPr>
          <w:rFonts w:ascii="宋体" w:cs="宋体"/>
          <w:bCs/>
          <w:szCs w:val="21"/>
        </w:rPr>
        <w:t>□竞争性磋商</w:t>
      </w:r>
    </w:p>
    <w:p w14:paraId="41C11997">
      <w:pPr>
        <w:spacing w:line="400" w:lineRule="exact"/>
        <w:ind w:firstLine="420" w:firstLineChars="200"/>
        <w:rPr>
          <w:rFonts w:ascii="宋体" w:cs="宋体"/>
          <w:bCs/>
          <w:szCs w:val="21"/>
        </w:rPr>
      </w:pPr>
      <w:r>
        <w:rPr>
          <w:rFonts w:hint="eastAsia" w:ascii="宋体" w:cs="宋体"/>
          <w:bCs/>
          <w:szCs w:val="21"/>
        </w:rPr>
        <w:t xml:space="preserve">                 </w:t>
      </w:r>
      <w:r>
        <w:rPr>
          <w:rFonts w:ascii="宋体" w:cs="宋体"/>
          <w:bCs/>
          <w:szCs w:val="21"/>
        </w:rPr>
        <w:t>口询价</w:t>
      </w:r>
      <w:r>
        <w:rPr>
          <w:rFonts w:hint="eastAsia" w:ascii="宋体" w:cs="宋体"/>
          <w:bCs/>
          <w:szCs w:val="21"/>
        </w:rPr>
        <w:t xml:space="preserve"> </w:t>
      </w:r>
      <w:r>
        <w:rPr>
          <w:rFonts w:ascii="宋体" w:cs="宋体"/>
          <w:bCs/>
          <w:szCs w:val="21"/>
        </w:rPr>
        <w:t>□单一来源</w:t>
      </w:r>
      <w:r>
        <w:rPr>
          <w:rFonts w:hint="eastAsia" w:ascii="宋体" w:cs="宋体"/>
          <w:bCs/>
          <w:szCs w:val="21"/>
        </w:rPr>
        <w:t xml:space="preserve"> </w:t>
      </w:r>
      <w:r>
        <w:rPr>
          <w:rFonts w:ascii="宋体" w:cs="宋体"/>
          <w:bCs/>
          <w:szCs w:val="21"/>
        </w:rPr>
        <w:t>□框架协议</w:t>
      </w:r>
      <w:r>
        <w:rPr>
          <w:rFonts w:hint="eastAsia" w:ascii="宋体" w:cs="宋体"/>
          <w:bCs/>
          <w:szCs w:val="21"/>
        </w:rPr>
        <w:t xml:space="preserve"> </w:t>
      </w:r>
      <w:r>
        <w:rPr>
          <w:rFonts w:ascii="宋体" w:cs="宋体"/>
          <w:bCs/>
          <w:szCs w:val="21"/>
        </w:rPr>
        <w:t>□其他：</w:t>
      </w:r>
      <w:r>
        <w:rPr>
          <w:rFonts w:ascii="宋体" w:cs="宋体"/>
          <w:snapToGrid w:val="0"/>
          <w:color w:val="000000"/>
          <w:kern w:val="0"/>
          <w:szCs w:val="21"/>
          <w:u w:val="single"/>
        </w:rPr>
        <w:t xml:space="preserve">      </w:t>
      </w:r>
      <w:r>
        <w:rPr>
          <w:rFonts w:ascii="宋体" w:cs="宋体"/>
          <w:snapToGrid w:val="0"/>
          <w:color w:val="000000"/>
          <w:kern w:val="0"/>
          <w:szCs w:val="21"/>
        </w:rPr>
        <w:t xml:space="preserve"> </w:t>
      </w:r>
      <w:r>
        <w:rPr>
          <w:rFonts w:ascii="宋体" w:cs="宋体"/>
          <w:bCs/>
          <w:szCs w:val="21"/>
        </w:rPr>
        <w:t xml:space="preserve">            </w:t>
      </w:r>
    </w:p>
    <w:p w14:paraId="4F64D4C7">
      <w:pPr>
        <w:spacing w:line="400" w:lineRule="exact"/>
        <w:ind w:firstLine="420" w:firstLineChars="200"/>
        <w:rPr>
          <w:rFonts w:ascii="宋体" w:cs="宋体"/>
          <w:bCs/>
          <w:szCs w:val="21"/>
        </w:rPr>
      </w:pPr>
      <w:r>
        <w:rPr>
          <w:rFonts w:ascii="宋体" w:cs="宋体"/>
          <w:bCs/>
          <w:szCs w:val="21"/>
        </w:rPr>
        <w:t>(注：在框架协议采购的第二阶段，可选择使用该合同文本)</w:t>
      </w:r>
    </w:p>
    <w:p w14:paraId="2E5357C2">
      <w:pPr>
        <w:tabs>
          <w:tab w:val="left" w:pos="1875"/>
        </w:tabs>
      </w:pPr>
    </w:p>
    <w:p w14:paraId="10E3D6BA">
      <w:pPr>
        <w:tabs>
          <w:tab w:val="left" w:pos="1875"/>
        </w:tabs>
      </w:pPr>
    </w:p>
    <w:p w14:paraId="6556A4F7">
      <w:pPr>
        <w:spacing w:line="400" w:lineRule="exact"/>
        <w:ind w:firstLine="420" w:firstLineChars="200"/>
        <w:rPr>
          <w:rFonts w:ascii="宋体" w:cs="宋体"/>
          <w:bCs/>
          <w:szCs w:val="21"/>
        </w:rPr>
      </w:pPr>
      <w:r>
        <w:rPr>
          <w:rFonts w:ascii="宋体" w:cs="宋体"/>
          <w:bCs/>
          <w:szCs w:val="21"/>
        </w:rPr>
        <w:drawing>
          <wp:anchor distT="0" distB="0" distL="0" distR="0" simplePos="0" relativeHeight="251659264" behindDoc="0" locked="0" layoutInCell="0" allowOverlap="1">
            <wp:simplePos x="0" y="0"/>
            <wp:positionH relativeFrom="page">
              <wp:posOffset>1778000</wp:posOffset>
            </wp:positionH>
            <wp:positionV relativeFrom="page">
              <wp:posOffset>3143250</wp:posOffset>
            </wp:positionV>
            <wp:extent cx="3892550" cy="6350"/>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0"/>
                    <a:stretch>
                      <a:fillRect/>
                    </a:stretch>
                  </pic:blipFill>
                  <pic:spPr>
                    <a:xfrm>
                      <a:off x="0" y="0"/>
                      <a:ext cx="3892550" cy="6350"/>
                    </a:xfrm>
                    <a:prstGeom prst="rect">
                      <a:avLst/>
                    </a:prstGeom>
                    <a:noFill/>
                    <a:ln w="9525" cap="flat" cmpd="sng">
                      <a:noFill/>
                      <a:prstDash val="solid"/>
                      <a:miter/>
                    </a:ln>
                  </pic:spPr>
                </pic:pic>
              </a:graphicData>
            </a:graphic>
          </wp:anchor>
        </w:drawing>
      </w:r>
      <w:r>
        <w:rPr>
          <w:rFonts w:ascii="宋体" w:cs="宋体"/>
          <w:bCs/>
          <w:szCs w:val="21"/>
        </w:rPr>
        <w:t>(6)中标(成交)采购标的制造商是否为中小企业：口是     口 否</w:t>
      </w:r>
    </w:p>
    <w:p w14:paraId="2DD39E2D">
      <w:pPr>
        <w:spacing w:line="400" w:lineRule="exact"/>
        <w:ind w:firstLine="420" w:firstLineChars="200"/>
        <w:rPr>
          <w:rFonts w:ascii="宋体" w:cs="宋体"/>
          <w:bCs/>
          <w:szCs w:val="21"/>
        </w:rPr>
      </w:pPr>
      <w:r>
        <w:rPr>
          <w:rFonts w:ascii="宋体" w:cs="宋体"/>
          <w:bCs/>
          <w:szCs w:val="21"/>
        </w:rPr>
        <w:t>本合同是否为专门面向中小企业的采购合同(中小企业预留合同):□是 □</w:t>
      </w:r>
      <w:r>
        <w:rPr>
          <w:rFonts w:hint="eastAsia" w:ascii="宋体" w:cs="宋体"/>
          <w:bCs/>
          <w:szCs w:val="21"/>
        </w:rPr>
        <w:t>否</w:t>
      </w:r>
    </w:p>
    <w:p w14:paraId="284CEDDB">
      <w:pPr>
        <w:spacing w:line="400" w:lineRule="exact"/>
        <w:ind w:firstLine="420" w:firstLineChars="200"/>
        <w:rPr>
          <w:rFonts w:ascii="宋体" w:cs="宋体"/>
          <w:bCs/>
          <w:szCs w:val="21"/>
        </w:rPr>
      </w:pPr>
      <w:r>
        <w:rPr>
          <w:rFonts w:ascii="宋体" w:cs="宋体"/>
          <w:bCs/>
          <w:szCs w:val="21"/>
        </w:rPr>
        <w:t>若本项目不专门面向中小企业采购，是否给予小微企业评审优惠：□是</w:t>
      </w:r>
      <w:r>
        <w:rPr>
          <w:rFonts w:hint="eastAsia" w:ascii="宋体" w:cs="宋体"/>
          <w:bCs/>
          <w:szCs w:val="21"/>
        </w:rPr>
        <w:t xml:space="preserve">  </w:t>
      </w:r>
      <w:r>
        <w:rPr>
          <w:rFonts w:ascii="宋体" w:cs="宋体"/>
          <w:bCs/>
          <w:szCs w:val="21"/>
        </w:rPr>
        <w:t>□</w:t>
      </w:r>
      <w:r>
        <w:rPr>
          <w:rFonts w:hint="eastAsia" w:ascii="宋体" w:cs="宋体"/>
          <w:bCs/>
          <w:szCs w:val="21"/>
        </w:rPr>
        <w:t>否</w:t>
      </w:r>
    </w:p>
    <w:p w14:paraId="3F175860">
      <w:pPr>
        <w:spacing w:line="400" w:lineRule="exact"/>
        <w:ind w:firstLine="420" w:firstLineChars="200"/>
        <w:rPr>
          <w:rFonts w:ascii="宋体" w:cs="宋体"/>
          <w:bCs/>
          <w:szCs w:val="21"/>
        </w:rPr>
      </w:pPr>
      <w:r>
        <w:rPr>
          <w:rFonts w:ascii="宋体" w:cs="宋体"/>
          <w:bCs/>
          <w:szCs w:val="21"/>
        </w:rPr>
        <w:t>中标(成交)采购标的制造商是否为残疾人福利性单位：口是  口否</w:t>
      </w:r>
    </w:p>
    <w:p w14:paraId="5E35518E">
      <w:pPr>
        <w:spacing w:line="400" w:lineRule="exact"/>
        <w:ind w:firstLine="420" w:firstLineChars="200"/>
        <w:rPr>
          <w:rFonts w:ascii="宋体" w:cs="宋体"/>
          <w:bCs/>
          <w:szCs w:val="21"/>
        </w:rPr>
      </w:pPr>
      <w:r>
        <w:rPr>
          <w:rFonts w:ascii="宋体" w:cs="宋体"/>
          <w:bCs/>
          <w:szCs w:val="21"/>
        </w:rPr>
        <w:t>中标(成交)采购标的制造商是否为监狱企业：□是    口否</w:t>
      </w:r>
    </w:p>
    <w:p w14:paraId="338FB878">
      <w:pPr>
        <w:spacing w:line="400" w:lineRule="exact"/>
        <w:ind w:firstLine="420" w:firstLineChars="200"/>
        <w:rPr>
          <w:rFonts w:ascii="宋体" w:cs="宋体"/>
          <w:bCs/>
          <w:szCs w:val="21"/>
        </w:rPr>
      </w:pPr>
      <w:r>
        <w:rPr>
          <w:rFonts w:ascii="宋体" w:cs="宋体"/>
          <w:bCs/>
          <w:szCs w:val="21"/>
        </w:rPr>
        <w:t>(7)合同是否分包：□是       口否</w:t>
      </w:r>
    </w:p>
    <w:p w14:paraId="3A34A197">
      <w:pPr>
        <w:spacing w:line="400" w:lineRule="exact"/>
        <w:ind w:firstLine="420" w:firstLineChars="200"/>
        <w:rPr>
          <w:rFonts w:ascii="宋体" w:cs="宋体"/>
          <w:bCs/>
          <w:szCs w:val="21"/>
        </w:rPr>
      </w:pPr>
      <w:r>
        <w:rPr>
          <w:rFonts w:ascii="宋体" w:cs="宋体"/>
          <w:bCs/>
          <w:szCs w:val="21"/>
        </w:rPr>
        <w:t>分包主要内容：</w:t>
      </w:r>
      <w:r>
        <w:rPr>
          <w:rFonts w:ascii="宋体" w:cs="宋体"/>
          <w:snapToGrid w:val="0"/>
          <w:color w:val="000000"/>
          <w:kern w:val="0"/>
          <w:szCs w:val="21"/>
          <w:u w:val="single"/>
        </w:rPr>
        <w:t xml:space="preserve">                                             </w:t>
      </w:r>
      <w:r>
        <w:rPr>
          <w:rFonts w:ascii="宋体" w:cs="宋体"/>
          <w:bCs/>
          <w:szCs w:val="21"/>
        </w:rPr>
        <w:t xml:space="preserve">                                              </w:t>
      </w:r>
    </w:p>
    <w:p w14:paraId="26F06DF7">
      <w:pPr>
        <w:spacing w:line="400" w:lineRule="exact"/>
        <w:ind w:firstLine="420" w:firstLineChars="200"/>
        <w:rPr>
          <w:rFonts w:ascii="宋体" w:cs="宋体"/>
          <w:bCs/>
          <w:szCs w:val="21"/>
        </w:rPr>
      </w:pPr>
      <w:r>
        <w:rPr>
          <w:rFonts w:ascii="宋体" w:cs="宋体"/>
          <w:bCs/>
          <w:szCs w:val="21"/>
        </w:rPr>
        <w:t>分包供应商/制造商名称(如供应商和制造商不同，请分别填写):</w:t>
      </w:r>
    </w:p>
    <w:p w14:paraId="50C25F48">
      <w:pPr>
        <w:spacing w:line="400" w:lineRule="exact"/>
        <w:ind w:firstLine="420" w:firstLineChars="200"/>
        <w:rPr>
          <w:rFonts w:ascii="宋体" w:cs="宋体"/>
          <w:bCs/>
          <w:szCs w:val="21"/>
        </w:rPr>
      </w:pPr>
      <w:r>
        <w:rPr>
          <w:rFonts w:ascii="宋体" w:cs="宋体"/>
          <w:snapToGrid w:val="0"/>
          <w:color w:val="000000"/>
          <w:kern w:val="0"/>
          <w:szCs w:val="21"/>
          <w:u w:val="single"/>
        </w:rPr>
        <w:t xml:space="preserve">                                             </w:t>
      </w:r>
    </w:p>
    <w:p w14:paraId="63684A57">
      <w:pPr>
        <w:spacing w:line="400" w:lineRule="exact"/>
        <w:ind w:firstLine="420" w:firstLineChars="200"/>
        <w:rPr>
          <w:rFonts w:ascii="宋体" w:cs="宋体"/>
          <w:bCs/>
          <w:szCs w:val="21"/>
        </w:rPr>
      </w:pPr>
      <w:r>
        <w:rPr>
          <w:rFonts w:ascii="宋体" w:cs="宋体"/>
          <w:bCs/>
          <w:szCs w:val="21"/>
        </w:rPr>
        <w:t>分包供应商/制造商类型(如果供应商和制造商不同，只填写制造商类型):</w:t>
      </w:r>
    </w:p>
    <w:p w14:paraId="6E6DB7A1">
      <w:pPr>
        <w:spacing w:line="400" w:lineRule="exact"/>
        <w:ind w:firstLine="420" w:firstLineChars="200"/>
        <w:rPr>
          <w:rFonts w:ascii="宋体" w:cs="宋体"/>
          <w:bCs/>
          <w:szCs w:val="21"/>
        </w:rPr>
      </w:pPr>
      <w:r>
        <w:rPr>
          <w:rFonts w:ascii="宋体" w:cs="宋体"/>
          <w:bCs/>
          <w:szCs w:val="21"/>
        </w:rPr>
        <w:t>口大型企业  口中型企业  口小微型企业</w:t>
      </w:r>
    </w:p>
    <w:p w14:paraId="469E5438">
      <w:pPr>
        <w:spacing w:line="400" w:lineRule="exact"/>
        <w:ind w:firstLine="420" w:firstLineChars="200"/>
        <w:rPr>
          <w:rFonts w:ascii="宋体" w:cs="宋体"/>
          <w:bCs/>
          <w:szCs w:val="21"/>
        </w:rPr>
      </w:pPr>
      <w:r>
        <w:rPr>
          <w:rFonts w:ascii="宋体" w:cs="宋体"/>
          <w:bCs/>
          <w:szCs w:val="21"/>
        </w:rPr>
        <w:t>口残疾人福利性单位</w:t>
      </w:r>
      <w:r>
        <w:rPr>
          <w:rFonts w:hint="eastAsia" w:ascii="宋体" w:cs="宋体"/>
          <w:bCs/>
          <w:szCs w:val="21"/>
        </w:rPr>
        <w:t xml:space="preserve"> </w:t>
      </w:r>
      <w:r>
        <w:rPr>
          <w:rFonts w:ascii="宋体" w:cs="宋体"/>
          <w:bCs/>
          <w:szCs w:val="21"/>
        </w:rPr>
        <w:t>口监狱企业</w:t>
      </w:r>
      <w:r>
        <w:rPr>
          <w:rFonts w:hint="eastAsia" w:ascii="宋体" w:cs="宋体"/>
          <w:bCs/>
          <w:szCs w:val="21"/>
        </w:rPr>
        <w:t xml:space="preserve"> </w:t>
      </w:r>
      <w:r>
        <w:rPr>
          <w:rFonts w:ascii="宋体" w:cs="宋体"/>
          <w:bCs/>
          <w:szCs w:val="21"/>
        </w:rPr>
        <w:t>□其他</w:t>
      </w:r>
    </w:p>
    <w:p w14:paraId="41C838F0">
      <w:pPr>
        <w:spacing w:line="400" w:lineRule="exact"/>
        <w:ind w:firstLine="420" w:firstLineChars="200"/>
        <w:rPr>
          <w:rFonts w:ascii="宋体" w:cs="宋体"/>
          <w:bCs/>
          <w:szCs w:val="21"/>
        </w:rPr>
      </w:pPr>
      <w:r>
        <w:rPr>
          <w:rFonts w:ascii="宋体" w:cs="宋体"/>
          <w:bCs/>
          <w:szCs w:val="21"/>
        </w:rPr>
        <w:t>(8)中标(成交)供应商是否为外商投资企业：口是      口否</w:t>
      </w:r>
    </w:p>
    <w:p w14:paraId="6B34D065">
      <w:pPr>
        <w:spacing w:line="400" w:lineRule="exact"/>
        <w:ind w:firstLine="420" w:firstLineChars="200"/>
        <w:rPr>
          <w:rFonts w:ascii="宋体" w:cs="宋体"/>
          <w:bCs/>
          <w:szCs w:val="21"/>
        </w:rPr>
      </w:pPr>
      <w:r>
        <w:rPr>
          <w:rFonts w:ascii="宋体" w:cs="宋体"/>
          <w:bCs/>
          <w:szCs w:val="21"/>
        </w:rPr>
        <w:t>外商投资企业类型：□全部由外国投资者投资 口部分由外国投资者投资</w:t>
      </w:r>
    </w:p>
    <w:p w14:paraId="74535771">
      <w:pPr>
        <w:spacing w:line="400" w:lineRule="exact"/>
        <w:ind w:firstLine="420" w:firstLineChars="200"/>
        <w:rPr>
          <w:rFonts w:ascii="宋体" w:cs="宋体"/>
          <w:bCs/>
          <w:szCs w:val="21"/>
        </w:rPr>
      </w:pPr>
      <w:r>
        <w:rPr>
          <w:rFonts w:ascii="宋体" w:cs="宋体"/>
          <w:bCs/>
          <w:szCs w:val="21"/>
        </w:rPr>
        <w:t>(9)是否涉及进口产品：</w:t>
      </w:r>
    </w:p>
    <w:p w14:paraId="74C1BADA">
      <w:pPr>
        <w:spacing w:line="400" w:lineRule="exact"/>
        <w:ind w:firstLine="420" w:firstLineChars="200"/>
        <w:rPr>
          <w:rFonts w:ascii="宋体" w:cs="宋体"/>
          <w:snapToGrid w:val="0"/>
          <w:color w:val="000000"/>
          <w:kern w:val="0"/>
          <w:szCs w:val="21"/>
          <w:u w:val="single"/>
        </w:rPr>
      </w:pPr>
      <w:r>
        <w:rPr>
          <w:rFonts w:ascii="宋体" w:cs="宋体"/>
          <w:bCs/>
          <w:szCs w:val="21"/>
        </w:rPr>
        <w:t>口是，《政府采购品目分类目录》底级品目名称：</w:t>
      </w:r>
      <w:r>
        <w:rPr>
          <w:rFonts w:ascii="宋体" w:cs="宋体"/>
          <w:snapToGrid w:val="0"/>
          <w:color w:val="000000"/>
          <w:kern w:val="0"/>
          <w:szCs w:val="21"/>
          <w:u w:val="single"/>
        </w:rPr>
        <w:t xml:space="preserve">         </w:t>
      </w:r>
      <w:r>
        <w:rPr>
          <w:rFonts w:ascii="宋体" w:cs="宋体"/>
          <w:bCs/>
          <w:szCs w:val="21"/>
        </w:rPr>
        <w:t>金额：</w:t>
      </w:r>
      <w:r>
        <w:rPr>
          <w:rFonts w:ascii="宋体" w:cs="宋体"/>
          <w:snapToGrid w:val="0"/>
          <w:color w:val="000000"/>
          <w:kern w:val="0"/>
          <w:szCs w:val="21"/>
          <w:u w:val="single"/>
        </w:rPr>
        <w:t xml:space="preserve">         </w:t>
      </w:r>
    </w:p>
    <w:p w14:paraId="337DA2D2">
      <w:pPr>
        <w:spacing w:line="400" w:lineRule="exact"/>
        <w:ind w:left="991" w:leftChars="200" w:hanging="571" w:hangingChars="272"/>
        <w:rPr>
          <w:rFonts w:ascii="宋体" w:cs="宋体"/>
          <w:bCs/>
          <w:szCs w:val="21"/>
        </w:rPr>
      </w:pPr>
      <w:r>
        <w:rPr>
          <w:rFonts w:hint="eastAsia" w:ascii="宋体" w:cs="宋体"/>
          <w:bCs/>
          <w:szCs w:val="21"/>
        </w:rPr>
        <w:t xml:space="preserve">     </w:t>
      </w:r>
      <w:r>
        <w:rPr>
          <w:rFonts w:ascii="宋体" w:cs="宋体"/>
          <w:bCs/>
          <w:szCs w:val="21"/>
        </w:rPr>
        <w:t>国 别 ：</w:t>
      </w:r>
      <w:r>
        <w:rPr>
          <w:rFonts w:ascii="宋体" w:cs="宋体"/>
          <w:snapToGrid w:val="0"/>
          <w:color w:val="000000"/>
          <w:kern w:val="0"/>
          <w:szCs w:val="21"/>
          <w:u w:val="single"/>
        </w:rPr>
        <w:t xml:space="preserve">         </w:t>
      </w:r>
      <w:r>
        <w:rPr>
          <w:rFonts w:ascii="宋体" w:cs="宋体"/>
          <w:bCs/>
          <w:szCs w:val="21"/>
        </w:rPr>
        <w:t>品牌：</w:t>
      </w:r>
      <w:r>
        <w:rPr>
          <w:rFonts w:ascii="宋体" w:cs="宋体"/>
          <w:snapToGrid w:val="0"/>
          <w:color w:val="000000"/>
          <w:kern w:val="0"/>
          <w:szCs w:val="21"/>
          <w:u w:val="single"/>
        </w:rPr>
        <w:t xml:space="preserve">         </w:t>
      </w:r>
      <w:r>
        <w:rPr>
          <w:rFonts w:ascii="宋体" w:cs="宋体"/>
          <w:bCs/>
          <w:szCs w:val="21"/>
        </w:rPr>
        <w:t>规格型号：</w:t>
      </w:r>
      <w:r>
        <w:rPr>
          <w:rFonts w:ascii="宋体" w:cs="宋体"/>
          <w:snapToGrid w:val="0"/>
          <w:color w:val="000000"/>
          <w:kern w:val="0"/>
          <w:szCs w:val="21"/>
          <w:u w:val="single"/>
        </w:rPr>
        <w:t xml:space="preserve">         </w:t>
      </w:r>
      <w:r>
        <w:rPr>
          <w:rFonts w:ascii="宋体" w:cs="宋体"/>
          <w:bCs/>
          <w:szCs w:val="21"/>
        </w:rPr>
        <w:t xml:space="preserve"> </w:t>
      </w:r>
    </w:p>
    <w:p w14:paraId="519A9771">
      <w:pPr>
        <w:spacing w:line="400" w:lineRule="exact"/>
        <w:ind w:firstLine="420" w:firstLineChars="200"/>
        <w:rPr>
          <w:rFonts w:ascii="宋体" w:cs="宋体"/>
          <w:bCs/>
          <w:szCs w:val="21"/>
        </w:rPr>
      </w:pPr>
      <w:r>
        <w:rPr>
          <w:rFonts w:ascii="宋体" w:cs="宋体"/>
          <w:bCs/>
          <w:szCs w:val="21"/>
        </w:rPr>
        <w:t>口否</w:t>
      </w:r>
    </w:p>
    <w:p w14:paraId="04294F37">
      <w:pPr>
        <w:spacing w:line="400" w:lineRule="exact"/>
        <w:ind w:firstLine="420" w:firstLineChars="200"/>
        <w:rPr>
          <w:rFonts w:ascii="宋体" w:cs="宋体"/>
          <w:bCs/>
          <w:szCs w:val="21"/>
        </w:rPr>
      </w:pPr>
      <w:r>
        <w:rPr>
          <w:rFonts w:ascii="宋体" w:cs="宋体"/>
          <w:bCs/>
          <w:szCs w:val="21"/>
        </w:rPr>
        <w:t>(10)是否涉及节能产品：</w:t>
      </w:r>
    </w:p>
    <w:p w14:paraId="7CDB06E5">
      <w:pPr>
        <w:spacing w:line="400" w:lineRule="exact"/>
        <w:ind w:firstLine="420" w:firstLineChars="200"/>
        <w:rPr>
          <w:rFonts w:ascii="宋体" w:cs="宋体"/>
          <w:snapToGrid w:val="0"/>
          <w:color w:val="000000"/>
          <w:kern w:val="0"/>
          <w:szCs w:val="21"/>
          <w:u w:val="single"/>
        </w:rPr>
      </w:pPr>
      <w:r>
        <w:rPr>
          <w:rFonts w:ascii="宋体" w:cs="宋体"/>
          <w:bCs/>
          <w:szCs w:val="21"/>
        </w:rPr>
        <w:t>口是， 《节能产品政府采购品目清单》的底级品目名称：</w:t>
      </w:r>
      <w:r>
        <w:rPr>
          <w:rFonts w:ascii="宋体" w:cs="宋体"/>
          <w:snapToGrid w:val="0"/>
          <w:color w:val="000000"/>
          <w:kern w:val="0"/>
          <w:szCs w:val="21"/>
          <w:u w:val="single"/>
        </w:rPr>
        <w:t xml:space="preserve">         </w:t>
      </w:r>
    </w:p>
    <w:p w14:paraId="3D05E37E">
      <w:pPr>
        <w:spacing w:line="400" w:lineRule="exact"/>
        <w:ind w:firstLine="420" w:firstLineChars="200"/>
        <w:rPr>
          <w:rFonts w:ascii="宋体" w:cs="宋体"/>
          <w:bCs/>
          <w:szCs w:val="21"/>
        </w:rPr>
      </w:pPr>
      <w:r>
        <w:rPr>
          <w:rFonts w:ascii="宋体" w:cs="宋体"/>
          <w:bCs/>
          <w:szCs w:val="21"/>
        </w:rPr>
        <w:t>口强制采购       口优先采购</w:t>
      </w:r>
    </w:p>
    <w:p w14:paraId="552DEB8F">
      <w:pPr>
        <w:spacing w:line="400" w:lineRule="exact"/>
        <w:ind w:firstLine="420" w:firstLineChars="200"/>
        <w:rPr>
          <w:rFonts w:ascii="宋体" w:cs="宋体"/>
          <w:bCs/>
          <w:szCs w:val="21"/>
        </w:rPr>
      </w:pPr>
      <w:r>
        <w:rPr>
          <w:rFonts w:ascii="宋体" w:cs="宋体"/>
          <w:bCs/>
          <w:szCs w:val="21"/>
        </w:rPr>
        <w:t>口否</w:t>
      </w:r>
    </w:p>
    <w:p w14:paraId="2C43BE03">
      <w:pPr>
        <w:spacing w:line="400" w:lineRule="exact"/>
        <w:ind w:firstLine="420" w:firstLineChars="200"/>
        <w:rPr>
          <w:rFonts w:ascii="宋体" w:cs="宋体"/>
          <w:bCs/>
          <w:szCs w:val="21"/>
        </w:rPr>
      </w:pPr>
      <w:r>
        <w:rPr>
          <w:rFonts w:ascii="宋体" w:cs="宋体"/>
          <w:bCs/>
          <w:szCs w:val="21"/>
        </w:rPr>
        <w:t>是否涉及环境标志产品：</w:t>
      </w:r>
    </w:p>
    <w:p w14:paraId="5EBABADC">
      <w:pPr>
        <w:spacing w:line="400" w:lineRule="exact"/>
        <w:ind w:firstLine="420" w:firstLineChars="200"/>
        <w:rPr>
          <w:rFonts w:ascii="宋体" w:cs="宋体"/>
          <w:bCs/>
          <w:szCs w:val="21"/>
        </w:rPr>
      </w:pPr>
      <w:r>
        <w:rPr>
          <w:rFonts w:ascii="宋体" w:cs="宋体"/>
          <w:bCs/>
          <w:szCs w:val="21"/>
        </w:rPr>
        <w:t>口是， 《环境标志产品政府采购品目清单》的底级品目名称：</w:t>
      </w:r>
      <w:r>
        <w:rPr>
          <w:rFonts w:ascii="宋体" w:cs="宋体"/>
          <w:snapToGrid w:val="0"/>
          <w:color w:val="000000"/>
          <w:kern w:val="0"/>
          <w:szCs w:val="21"/>
          <w:u w:val="single"/>
        </w:rPr>
        <w:t xml:space="preserve">         </w:t>
      </w:r>
    </w:p>
    <w:p w14:paraId="2226CDA0">
      <w:pPr>
        <w:spacing w:line="400" w:lineRule="exact"/>
        <w:ind w:firstLine="420" w:firstLineChars="200"/>
        <w:rPr>
          <w:rFonts w:ascii="宋体" w:cs="宋体"/>
          <w:bCs/>
          <w:szCs w:val="21"/>
        </w:rPr>
      </w:pPr>
      <w:r>
        <w:rPr>
          <w:rFonts w:ascii="宋体" w:cs="宋体"/>
          <w:bCs/>
          <w:szCs w:val="21"/>
        </w:rPr>
        <w:t>口强制采购       口优先采购</w:t>
      </w:r>
    </w:p>
    <w:p w14:paraId="067535B5">
      <w:pPr>
        <w:spacing w:line="400" w:lineRule="exact"/>
        <w:ind w:firstLine="420" w:firstLineChars="200"/>
        <w:rPr>
          <w:rFonts w:ascii="宋体" w:cs="宋体"/>
          <w:bCs/>
          <w:szCs w:val="21"/>
        </w:rPr>
      </w:pPr>
      <w:r>
        <w:rPr>
          <w:rFonts w:ascii="宋体" w:cs="宋体"/>
          <w:bCs/>
          <w:szCs w:val="21"/>
        </w:rPr>
        <w:t>口否</w:t>
      </w:r>
    </w:p>
    <w:p w14:paraId="6CA22A50">
      <w:pPr>
        <w:spacing w:line="400" w:lineRule="exact"/>
        <w:ind w:firstLine="420" w:firstLineChars="200"/>
        <w:rPr>
          <w:rFonts w:ascii="宋体" w:cs="宋体"/>
          <w:bCs/>
          <w:szCs w:val="21"/>
        </w:rPr>
      </w:pPr>
      <w:r>
        <w:rPr>
          <w:rFonts w:ascii="宋体" w:cs="宋体"/>
          <w:bCs/>
          <w:szCs w:val="21"/>
        </w:rPr>
        <w:t>是否涉及绿色产品：</w:t>
      </w:r>
    </w:p>
    <w:p w14:paraId="526B5AE8">
      <w:pPr>
        <w:spacing w:line="400" w:lineRule="exact"/>
        <w:ind w:firstLine="420" w:firstLineChars="200"/>
        <w:rPr>
          <w:rFonts w:ascii="宋体" w:cs="宋体"/>
          <w:snapToGrid w:val="0"/>
          <w:color w:val="000000"/>
          <w:kern w:val="0"/>
          <w:szCs w:val="21"/>
          <w:u w:val="single"/>
        </w:rPr>
      </w:pPr>
      <w:r>
        <w:rPr>
          <w:rFonts w:ascii="宋体" w:cs="宋体"/>
          <w:bCs/>
          <w:szCs w:val="21"/>
        </w:rPr>
        <w:t>□是，绿色产品政府采购相关政策确定的底级品目名称</w:t>
      </w:r>
      <w:r>
        <w:rPr>
          <w:rFonts w:hint="eastAsia" w:ascii="宋体" w:cs="宋体"/>
          <w:bCs/>
          <w:szCs w:val="21"/>
        </w:rPr>
        <w:t>：</w:t>
      </w:r>
      <w:r>
        <w:rPr>
          <w:rFonts w:ascii="宋体" w:cs="宋体"/>
          <w:snapToGrid w:val="0"/>
          <w:color w:val="000000"/>
          <w:kern w:val="0"/>
          <w:szCs w:val="21"/>
          <w:u w:val="single"/>
        </w:rPr>
        <w:t xml:space="preserve">         </w:t>
      </w:r>
    </w:p>
    <w:p w14:paraId="76979CB4">
      <w:pPr>
        <w:spacing w:line="400" w:lineRule="exact"/>
        <w:ind w:firstLine="420" w:firstLineChars="200"/>
        <w:rPr>
          <w:rFonts w:ascii="宋体" w:cs="宋体"/>
          <w:bCs/>
          <w:szCs w:val="21"/>
        </w:rPr>
      </w:pPr>
      <w:r>
        <w:rPr>
          <w:rFonts w:ascii="宋体" w:cs="宋体"/>
          <w:bCs/>
          <w:szCs w:val="21"/>
        </w:rPr>
        <w:t>口强制采购       口优先采购</w:t>
      </w:r>
    </w:p>
    <w:p w14:paraId="64252877">
      <w:pPr>
        <w:spacing w:line="400" w:lineRule="exact"/>
        <w:ind w:firstLine="420" w:firstLineChars="200"/>
        <w:rPr>
          <w:rFonts w:ascii="宋体" w:cs="宋体"/>
          <w:bCs/>
          <w:szCs w:val="21"/>
        </w:rPr>
      </w:pPr>
      <w:r>
        <w:rPr>
          <w:rFonts w:ascii="宋体" w:cs="宋体"/>
          <w:bCs/>
          <w:szCs w:val="21"/>
        </w:rPr>
        <w:t>口否</w:t>
      </w:r>
    </w:p>
    <w:p w14:paraId="30FD783B">
      <w:pPr>
        <w:spacing w:line="400" w:lineRule="exact"/>
        <w:ind w:firstLine="420" w:firstLineChars="200"/>
        <w:rPr>
          <w:rFonts w:ascii="宋体" w:cs="宋体"/>
          <w:bCs/>
          <w:szCs w:val="21"/>
        </w:rPr>
      </w:pPr>
      <w:r>
        <w:rPr>
          <w:rFonts w:ascii="宋体" w:cs="宋体"/>
          <w:bCs/>
          <w:szCs w:val="21"/>
        </w:rPr>
        <w:t>(11)涉及商品包装和快递包装的，是否参考《商品包装政府采购需求标准(试行)》、《快递包装政府采购需求标准(试行)》明确产品及相关快递服务的具体包装要求：</w:t>
      </w:r>
    </w:p>
    <w:p w14:paraId="73F3E820">
      <w:pPr>
        <w:spacing w:line="400" w:lineRule="exact"/>
        <w:ind w:firstLine="420" w:firstLineChars="200"/>
        <w:rPr>
          <w:rFonts w:ascii="宋体" w:cs="宋体"/>
          <w:bCs/>
          <w:szCs w:val="21"/>
        </w:rPr>
      </w:pPr>
      <w:r>
        <w:rPr>
          <w:rFonts w:ascii="宋体" w:cs="宋体"/>
          <w:bCs/>
          <w:szCs w:val="21"/>
        </w:rPr>
        <w:t>口是       口否      口不涉及</w:t>
      </w:r>
    </w:p>
    <w:p w14:paraId="54372C96">
      <w:pPr>
        <w:tabs>
          <w:tab w:val="left" w:pos="1875"/>
        </w:tabs>
      </w:pPr>
    </w:p>
    <w:p w14:paraId="095C934F">
      <w:pPr>
        <w:spacing w:line="400" w:lineRule="exact"/>
        <w:ind w:firstLine="420" w:firstLineChars="200"/>
        <w:rPr>
          <w:rFonts w:ascii="宋体" w:cs="宋体"/>
          <w:bCs/>
          <w:szCs w:val="21"/>
        </w:rPr>
      </w:pPr>
      <w:r>
        <w:rPr>
          <w:rFonts w:ascii="宋体" w:cs="宋体"/>
          <w:bCs/>
          <w:szCs w:val="21"/>
        </w:rPr>
        <w:t>2. 合同金额</w:t>
      </w:r>
    </w:p>
    <w:p w14:paraId="7F1E8CC2">
      <w:pPr>
        <w:spacing w:line="400" w:lineRule="exact"/>
        <w:ind w:firstLine="420" w:firstLineChars="200"/>
        <w:rPr>
          <w:rFonts w:ascii="宋体" w:cs="宋体"/>
          <w:bCs/>
          <w:szCs w:val="21"/>
        </w:rPr>
      </w:pPr>
      <w:r>
        <w:rPr>
          <w:rFonts w:ascii="宋体" w:cs="宋体"/>
          <w:bCs/>
          <w:szCs w:val="21"/>
        </w:rPr>
        <w:t>(1)合同金额小写：</w:t>
      </w:r>
      <w:r>
        <w:rPr>
          <w:rFonts w:ascii="宋体" w:cs="宋体"/>
          <w:snapToGrid w:val="0"/>
          <w:color w:val="000000"/>
          <w:kern w:val="0"/>
          <w:szCs w:val="21"/>
          <w:u w:val="single"/>
        </w:rPr>
        <w:t xml:space="preserve">                       </w:t>
      </w:r>
      <w:r>
        <w:rPr>
          <w:rFonts w:hint="eastAsia" w:ascii="宋体" w:cs="宋体"/>
          <w:snapToGrid w:val="0"/>
          <w:color w:val="000000"/>
          <w:kern w:val="0"/>
          <w:szCs w:val="21"/>
          <w:u w:val="single"/>
        </w:rPr>
        <w:t xml:space="preserve">  </w:t>
      </w:r>
      <w:r>
        <w:rPr>
          <w:rFonts w:ascii="宋体" w:cs="宋体"/>
          <w:snapToGrid w:val="0"/>
          <w:color w:val="000000"/>
          <w:kern w:val="0"/>
          <w:szCs w:val="21"/>
          <w:u w:val="single"/>
        </w:rPr>
        <w:t xml:space="preserve">     </w:t>
      </w:r>
      <w:r>
        <w:rPr>
          <w:rFonts w:ascii="宋体" w:cs="宋体"/>
          <w:bCs/>
          <w:szCs w:val="21"/>
        </w:rPr>
        <w:t xml:space="preserve">                        </w:t>
      </w:r>
      <w:r>
        <w:rPr>
          <w:rFonts w:hint="eastAsia" w:ascii="宋体" w:cs="宋体"/>
          <w:bCs/>
          <w:szCs w:val="21"/>
        </w:rPr>
        <w:t xml:space="preserve">  </w:t>
      </w:r>
      <w:r>
        <w:rPr>
          <w:rFonts w:ascii="宋体" w:cs="宋体"/>
          <w:bCs/>
          <w:szCs w:val="21"/>
        </w:rPr>
        <w:t xml:space="preserve">     </w:t>
      </w:r>
    </w:p>
    <w:p w14:paraId="36C4C096">
      <w:pPr>
        <w:spacing w:line="400" w:lineRule="exact"/>
        <w:ind w:firstLine="420" w:firstLineChars="200"/>
        <w:rPr>
          <w:rFonts w:ascii="宋体" w:cs="宋体"/>
          <w:bCs/>
          <w:szCs w:val="21"/>
        </w:rPr>
      </w:pPr>
      <w:r>
        <w:rPr>
          <w:rFonts w:hint="eastAsia" w:ascii="宋体" w:cs="宋体"/>
          <w:bCs/>
          <w:szCs w:val="21"/>
        </w:rPr>
        <w:t xml:space="preserve">            </w:t>
      </w:r>
      <w:r>
        <w:rPr>
          <w:rFonts w:ascii="宋体" w:cs="宋体"/>
          <w:bCs/>
          <w:szCs w:val="21"/>
        </w:rPr>
        <w:t>大写：</w:t>
      </w:r>
      <w:r>
        <w:rPr>
          <w:rFonts w:ascii="宋体" w:cs="宋体"/>
          <w:snapToGrid w:val="0"/>
          <w:color w:val="000000"/>
          <w:kern w:val="0"/>
          <w:szCs w:val="21"/>
          <w:u w:val="single"/>
        </w:rPr>
        <w:t xml:space="preserve">                       </w:t>
      </w:r>
      <w:r>
        <w:rPr>
          <w:rFonts w:hint="eastAsia" w:ascii="宋体" w:cs="宋体"/>
          <w:snapToGrid w:val="0"/>
          <w:color w:val="000000"/>
          <w:kern w:val="0"/>
          <w:szCs w:val="21"/>
          <w:u w:val="single"/>
        </w:rPr>
        <w:t xml:space="preserve">  </w:t>
      </w:r>
      <w:r>
        <w:rPr>
          <w:rFonts w:ascii="宋体" w:cs="宋体"/>
          <w:snapToGrid w:val="0"/>
          <w:color w:val="000000"/>
          <w:kern w:val="0"/>
          <w:szCs w:val="21"/>
          <w:u w:val="single"/>
        </w:rPr>
        <w:t xml:space="preserve">     </w:t>
      </w:r>
      <w:r>
        <w:rPr>
          <w:rFonts w:ascii="宋体" w:cs="宋体"/>
          <w:bCs/>
          <w:szCs w:val="21"/>
        </w:rPr>
        <w:t xml:space="preserve">                        </w:t>
      </w:r>
      <w:r>
        <w:rPr>
          <w:rFonts w:hint="eastAsia" w:ascii="宋体" w:cs="宋体"/>
          <w:bCs/>
          <w:szCs w:val="21"/>
        </w:rPr>
        <w:t xml:space="preserve">  </w:t>
      </w:r>
      <w:r>
        <w:rPr>
          <w:rFonts w:ascii="宋体" w:cs="宋体"/>
          <w:bCs/>
          <w:szCs w:val="21"/>
        </w:rPr>
        <w:t xml:space="preserve">     </w:t>
      </w:r>
    </w:p>
    <w:p w14:paraId="76FC14CB">
      <w:pPr>
        <w:spacing w:line="400" w:lineRule="exact"/>
        <w:ind w:firstLine="420" w:firstLineChars="200"/>
        <w:rPr>
          <w:rFonts w:ascii="宋体" w:cs="宋体"/>
          <w:bCs/>
          <w:szCs w:val="21"/>
        </w:rPr>
      </w:pPr>
      <w:r>
        <w:rPr>
          <w:rFonts w:ascii="宋体" w:cs="宋体"/>
          <w:bCs/>
          <w:szCs w:val="21"/>
        </w:rPr>
        <w:t>分包金额(如有)小写</w:t>
      </w:r>
      <w:r>
        <w:rPr>
          <w:rFonts w:hint="eastAsia" w:ascii="宋体" w:cs="宋体"/>
          <w:bCs/>
          <w:szCs w:val="21"/>
        </w:rPr>
        <w:t>：</w:t>
      </w:r>
      <w:r>
        <w:rPr>
          <w:rFonts w:ascii="宋体" w:cs="宋体"/>
          <w:snapToGrid w:val="0"/>
          <w:color w:val="000000"/>
          <w:kern w:val="0"/>
          <w:szCs w:val="21"/>
          <w:u w:val="single"/>
        </w:rPr>
        <w:t xml:space="preserve">                       </w:t>
      </w:r>
      <w:r>
        <w:rPr>
          <w:rFonts w:hint="eastAsia" w:ascii="宋体" w:cs="宋体"/>
          <w:snapToGrid w:val="0"/>
          <w:color w:val="000000"/>
          <w:kern w:val="0"/>
          <w:szCs w:val="21"/>
          <w:u w:val="single"/>
        </w:rPr>
        <w:t xml:space="preserve">  </w:t>
      </w:r>
      <w:r>
        <w:rPr>
          <w:rFonts w:ascii="宋体" w:cs="宋体"/>
          <w:snapToGrid w:val="0"/>
          <w:color w:val="000000"/>
          <w:kern w:val="0"/>
          <w:szCs w:val="21"/>
          <w:u w:val="single"/>
        </w:rPr>
        <w:t xml:space="preserve">     </w:t>
      </w:r>
      <w:r>
        <w:rPr>
          <w:rFonts w:ascii="宋体" w:cs="宋体"/>
          <w:bCs/>
          <w:szCs w:val="21"/>
        </w:rPr>
        <w:t xml:space="preserve">                </w:t>
      </w:r>
      <w:r>
        <w:rPr>
          <w:rFonts w:hint="eastAsia" w:ascii="宋体" w:cs="宋体"/>
          <w:bCs/>
          <w:szCs w:val="21"/>
        </w:rPr>
        <w:t xml:space="preserve">   </w:t>
      </w:r>
      <w:r>
        <w:rPr>
          <w:rFonts w:ascii="宋体" w:cs="宋体"/>
          <w:bCs/>
          <w:szCs w:val="21"/>
        </w:rPr>
        <w:t xml:space="preserve">    </w:t>
      </w:r>
    </w:p>
    <w:p w14:paraId="09F27EE5">
      <w:pPr>
        <w:spacing w:line="400" w:lineRule="exact"/>
        <w:ind w:firstLine="420" w:firstLineChars="200"/>
        <w:rPr>
          <w:rFonts w:ascii="宋体" w:cs="宋体"/>
          <w:bCs/>
          <w:szCs w:val="21"/>
        </w:rPr>
      </w:pPr>
      <w:r>
        <w:rPr>
          <w:rFonts w:hint="eastAsia" w:ascii="宋体" w:cs="宋体"/>
          <w:bCs/>
          <w:szCs w:val="21"/>
        </w:rPr>
        <w:t xml:space="preserve">              </w:t>
      </w:r>
      <w:r>
        <w:rPr>
          <w:rFonts w:ascii="宋体" w:cs="宋体"/>
          <w:bCs/>
          <w:szCs w:val="21"/>
        </w:rPr>
        <w:t>大写：</w:t>
      </w:r>
      <w:r>
        <w:rPr>
          <w:rFonts w:ascii="宋体" w:cs="宋体"/>
          <w:snapToGrid w:val="0"/>
          <w:color w:val="000000"/>
          <w:kern w:val="0"/>
          <w:szCs w:val="21"/>
          <w:u w:val="single"/>
        </w:rPr>
        <w:t xml:space="preserve">                       </w:t>
      </w:r>
      <w:r>
        <w:rPr>
          <w:rFonts w:hint="eastAsia" w:ascii="宋体" w:cs="宋体"/>
          <w:snapToGrid w:val="0"/>
          <w:color w:val="000000"/>
          <w:kern w:val="0"/>
          <w:szCs w:val="21"/>
          <w:u w:val="single"/>
        </w:rPr>
        <w:t xml:space="preserve">  </w:t>
      </w:r>
      <w:r>
        <w:rPr>
          <w:rFonts w:ascii="宋体" w:cs="宋体"/>
          <w:snapToGrid w:val="0"/>
          <w:color w:val="000000"/>
          <w:kern w:val="0"/>
          <w:szCs w:val="21"/>
          <w:u w:val="single"/>
        </w:rPr>
        <w:t xml:space="preserve">     </w:t>
      </w:r>
      <w:r>
        <w:rPr>
          <w:rFonts w:ascii="宋体" w:cs="宋体"/>
          <w:bCs/>
          <w:szCs w:val="21"/>
        </w:rPr>
        <w:t xml:space="preserve">                          </w:t>
      </w:r>
    </w:p>
    <w:p w14:paraId="26D1ADBA">
      <w:pPr>
        <w:spacing w:line="400" w:lineRule="exact"/>
        <w:ind w:firstLine="420" w:firstLineChars="200"/>
        <w:rPr>
          <w:rFonts w:ascii="宋体" w:cs="宋体"/>
          <w:bCs/>
          <w:szCs w:val="21"/>
        </w:rPr>
      </w:pPr>
      <w:r>
        <w:rPr>
          <w:rFonts w:ascii="宋体" w:cs="宋体"/>
          <w:bCs/>
          <w:szCs w:val="21"/>
        </w:rPr>
        <w:t>(注：固定单价合同应填写单价和最高限价)</w:t>
      </w:r>
    </w:p>
    <w:p w14:paraId="5ABFFEBA">
      <w:pPr>
        <w:spacing w:line="400" w:lineRule="exact"/>
        <w:ind w:firstLine="420" w:firstLineChars="200"/>
        <w:rPr>
          <w:rFonts w:ascii="宋体" w:cs="宋体"/>
          <w:bCs/>
          <w:szCs w:val="21"/>
        </w:rPr>
      </w:pPr>
      <w:r>
        <w:rPr>
          <w:rFonts w:ascii="宋体" w:cs="宋体"/>
          <w:bCs/>
          <w:szCs w:val="21"/>
        </w:rPr>
        <w:t>(2)合同定价方式(采用组合定价方式的，可以勾选多项):</w:t>
      </w:r>
    </w:p>
    <w:p w14:paraId="442F1F33">
      <w:pPr>
        <w:spacing w:line="400" w:lineRule="exact"/>
        <w:ind w:firstLine="420" w:firstLineChars="200"/>
        <w:rPr>
          <w:rFonts w:ascii="宋体" w:cs="宋体"/>
          <w:bCs/>
          <w:szCs w:val="21"/>
        </w:rPr>
      </w:pPr>
      <w:r>
        <w:rPr>
          <w:rFonts w:ascii="宋体" w:cs="宋体"/>
          <w:bCs/>
          <w:szCs w:val="21"/>
        </w:rPr>
        <w:t>口固定总价</w:t>
      </w:r>
      <w:r>
        <w:rPr>
          <w:rFonts w:hint="eastAsia" w:ascii="宋体" w:cs="宋体"/>
          <w:bCs/>
          <w:szCs w:val="21"/>
        </w:rPr>
        <w:t xml:space="preserve"> </w:t>
      </w:r>
      <w:r>
        <w:rPr>
          <w:rFonts w:ascii="宋体" w:cs="宋体"/>
          <w:bCs/>
          <w:szCs w:val="21"/>
        </w:rPr>
        <w:t>□固定单价</w:t>
      </w:r>
      <w:r>
        <w:rPr>
          <w:rFonts w:hint="eastAsia" w:ascii="宋体" w:cs="宋体"/>
          <w:bCs/>
          <w:szCs w:val="21"/>
        </w:rPr>
        <w:t xml:space="preserve"> </w:t>
      </w:r>
      <w:r>
        <w:rPr>
          <w:rFonts w:ascii="宋体" w:cs="宋体"/>
          <w:bCs/>
          <w:szCs w:val="21"/>
        </w:rPr>
        <w:t>□固定费率</w:t>
      </w:r>
      <w:r>
        <w:rPr>
          <w:rFonts w:hint="eastAsia" w:ascii="宋体" w:cs="宋体"/>
          <w:bCs/>
          <w:szCs w:val="21"/>
        </w:rPr>
        <w:t xml:space="preserve"> </w:t>
      </w:r>
      <w:r>
        <w:rPr>
          <w:rFonts w:ascii="宋体" w:cs="宋体"/>
          <w:bCs/>
          <w:szCs w:val="21"/>
        </w:rPr>
        <w:t>□成本补偿</w:t>
      </w:r>
      <w:r>
        <w:rPr>
          <w:rFonts w:hint="eastAsia" w:ascii="宋体" w:cs="宋体"/>
          <w:bCs/>
          <w:szCs w:val="21"/>
        </w:rPr>
        <w:t xml:space="preserve"> </w:t>
      </w:r>
      <w:r>
        <w:rPr>
          <w:rFonts w:ascii="宋体" w:cs="宋体"/>
          <w:bCs/>
          <w:szCs w:val="21"/>
        </w:rPr>
        <w:t>口绩效激励</w:t>
      </w:r>
      <w:r>
        <w:rPr>
          <w:rFonts w:hint="eastAsia" w:ascii="宋体" w:cs="宋体"/>
          <w:bCs/>
          <w:szCs w:val="21"/>
        </w:rPr>
        <w:t xml:space="preserve"> </w:t>
      </w:r>
      <w:r>
        <w:rPr>
          <w:rFonts w:ascii="宋体" w:cs="宋体"/>
          <w:bCs/>
          <w:szCs w:val="21"/>
        </w:rPr>
        <w:t>口其他</w:t>
      </w:r>
      <w:r>
        <w:rPr>
          <w:rFonts w:ascii="宋体" w:cs="宋体"/>
          <w:snapToGrid w:val="0"/>
          <w:color w:val="000000"/>
          <w:kern w:val="0"/>
          <w:szCs w:val="21"/>
          <w:u w:val="single"/>
        </w:rPr>
        <w:t xml:space="preserve">         </w:t>
      </w:r>
      <w:r>
        <w:rPr>
          <w:rFonts w:ascii="宋体" w:cs="宋体"/>
          <w:bCs/>
          <w:szCs w:val="21"/>
        </w:rPr>
        <w:t xml:space="preserve">       </w:t>
      </w:r>
    </w:p>
    <w:p w14:paraId="485B9A7E">
      <w:pPr>
        <w:spacing w:line="400" w:lineRule="exact"/>
        <w:ind w:firstLine="420" w:firstLineChars="200"/>
        <w:rPr>
          <w:rFonts w:ascii="宋体" w:cs="宋体"/>
          <w:bCs/>
          <w:szCs w:val="21"/>
        </w:rPr>
      </w:pPr>
      <w:r>
        <w:rPr>
          <w:rFonts w:ascii="宋体" w:cs="宋体"/>
          <w:bCs/>
          <w:szCs w:val="21"/>
        </w:rPr>
        <w:t>(3)付款方式(按项目实际勾选填写):</w:t>
      </w:r>
    </w:p>
    <w:p w14:paraId="6E08790B">
      <w:pPr>
        <w:spacing w:line="400" w:lineRule="exact"/>
        <w:ind w:firstLine="420" w:firstLineChars="200"/>
        <w:rPr>
          <w:rFonts w:ascii="宋体" w:cs="宋体"/>
          <w:bCs/>
          <w:szCs w:val="21"/>
        </w:rPr>
      </w:pPr>
      <w:r>
        <w:rPr>
          <w:rFonts w:ascii="宋体" w:cs="宋体"/>
          <w:bCs/>
          <w:szCs w:val="21"/>
        </w:rPr>
        <w:t>口全额付款：</w:t>
      </w:r>
      <w:r>
        <w:rPr>
          <w:rFonts w:ascii="宋体" w:cs="宋体"/>
          <w:bCs/>
          <w:szCs w:val="21"/>
          <w:u w:val="single"/>
        </w:rPr>
        <w:t xml:space="preserve">  ( 应 明 确 一 次 性 支 付 合 同 款 项 的 条 件 )</w:t>
      </w:r>
      <w:r>
        <w:rPr>
          <w:rFonts w:hint="eastAsia" w:ascii="宋体" w:cs="宋体"/>
          <w:bCs/>
          <w:szCs w:val="21"/>
          <w:u w:val="single"/>
        </w:rPr>
        <w:t xml:space="preserve"> </w:t>
      </w:r>
      <w:r>
        <w:rPr>
          <w:rFonts w:ascii="宋体" w:cs="宋体"/>
          <w:bCs/>
          <w:szCs w:val="21"/>
          <w:u w:val="single"/>
        </w:rPr>
        <w:t xml:space="preserve"> </w:t>
      </w:r>
      <w:r>
        <w:rPr>
          <w:rFonts w:ascii="宋体" w:cs="宋体"/>
          <w:bCs/>
          <w:szCs w:val="21"/>
        </w:rPr>
        <w:t xml:space="preserve">             </w:t>
      </w:r>
    </w:p>
    <w:p w14:paraId="144BD452">
      <w:pPr>
        <w:spacing w:line="400" w:lineRule="exact"/>
        <w:ind w:firstLine="420" w:firstLineChars="200"/>
        <w:rPr>
          <w:rFonts w:ascii="宋体" w:cs="宋体"/>
          <w:bCs/>
          <w:szCs w:val="21"/>
        </w:rPr>
      </w:pPr>
      <w:r>
        <w:rPr>
          <w:rFonts w:ascii="宋体" w:cs="宋体"/>
          <w:bCs/>
          <w:szCs w:val="21"/>
        </w:rPr>
        <w:t>口分期付款：</w:t>
      </w:r>
      <w:r>
        <w:rPr>
          <w:rFonts w:ascii="宋体" w:cs="宋体"/>
          <w:bCs/>
          <w:szCs w:val="21"/>
          <w:u w:val="single"/>
        </w:rPr>
        <w:t xml:space="preserve">  (应明确分期支付合同款项的各期比例和支付条件，各期支付条件应与分期履约验收情况挂钩)</w:t>
      </w:r>
      <w:r>
        <w:rPr>
          <w:rFonts w:ascii="宋体" w:cs="宋体"/>
          <w:bCs/>
          <w:szCs w:val="21"/>
        </w:rPr>
        <w:t xml:space="preserve"> ,其中涉及预付款的：</w:t>
      </w:r>
      <w:r>
        <w:rPr>
          <w:rFonts w:ascii="宋体" w:cs="宋体"/>
          <w:bCs/>
          <w:szCs w:val="21"/>
          <w:u w:val="single"/>
        </w:rPr>
        <w:t xml:space="preserve"> (应明确预付款的支付比例和支付条件)</w:t>
      </w:r>
      <w:r>
        <w:rPr>
          <w:rFonts w:hint="eastAsia" w:ascii="宋体" w:cs="宋体"/>
          <w:bCs/>
          <w:szCs w:val="21"/>
          <w:u w:val="single"/>
        </w:rPr>
        <w:t xml:space="preserve"> </w:t>
      </w:r>
    </w:p>
    <w:p w14:paraId="480771B6">
      <w:pPr>
        <w:spacing w:line="400" w:lineRule="exact"/>
        <w:ind w:firstLine="420" w:firstLineChars="200"/>
        <w:rPr>
          <w:rFonts w:ascii="宋体" w:cs="宋体"/>
          <w:bCs/>
          <w:szCs w:val="21"/>
        </w:rPr>
      </w:pPr>
      <w:r>
        <w:rPr>
          <w:rFonts w:ascii="宋体" w:cs="宋体"/>
          <w:bCs/>
          <w:szCs w:val="21"/>
        </w:rPr>
        <w:t>口成本补偿：</w:t>
      </w:r>
      <w:r>
        <w:rPr>
          <w:rFonts w:ascii="宋体" w:cs="宋体"/>
          <w:bCs/>
          <w:szCs w:val="21"/>
          <w:u w:val="single"/>
        </w:rPr>
        <w:t xml:space="preserve">  (应明确按照成本补偿方式的支付方式和支付条件) </w:t>
      </w:r>
      <w:r>
        <w:rPr>
          <w:rFonts w:ascii="宋体" w:cs="宋体"/>
          <w:bCs/>
          <w:szCs w:val="21"/>
        </w:rPr>
        <w:t xml:space="preserve"> </w:t>
      </w:r>
    </w:p>
    <w:p w14:paraId="2DC74D70">
      <w:pPr>
        <w:spacing w:line="400" w:lineRule="exact"/>
        <w:ind w:firstLine="420" w:firstLineChars="200"/>
        <w:rPr>
          <w:rFonts w:ascii="宋体" w:cs="宋体"/>
          <w:bCs/>
          <w:szCs w:val="21"/>
        </w:rPr>
      </w:pPr>
      <w:r>
        <w:rPr>
          <w:rFonts w:ascii="宋体" w:cs="宋体"/>
          <w:bCs/>
          <w:szCs w:val="21"/>
        </w:rPr>
        <w:t>口绩效激励：</w:t>
      </w:r>
      <w:r>
        <w:rPr>
          <w:rFonts w:ascii="宋体" w:cs="宋体"/>
          <w:bCs/>
          <w:szCs w:val="21"/>
          <w:u w:val="single"/>
        </w:rPr>
        <w:t xml:space="preserve">  (应明确按照绩效激励方式的支付方式和支付条件)  </w:t>
      </w:r>
    </w:p>
    <w:p w14:paraId="109DD295">
      <w:pPr>
        <w:spacing w:line="400" w:lineRule="exact"/>
        <w:ind w:firstLine="420" w:firstLineChars="200"/>
        <w:rPr>
          <w:rFonts w:ascii="宋体" w:cs="宋体"/>
          <w:bCs/>
          <w:szCs w:val="21"/>
        </w:rPr>
      </w:pPr>
      <w:r>
        <w:rPr>
          <w:rFonts w:ascii="宋体" w:cs="宋体"/>
          <w:bCs/>
          <w:szCs w:val="21"/>
        </w:rPr>
        <w:t>3. 合同履行</w:t>
      </w:r>
    </w:p>
    <w:p w14:paraId="04C5C678">
      <w:pPr>
        <w:spacing w:line="400" w:lineRule="exact"/>
        <w:ind w:firstLine="420" w:firstLineChars="200"/>
        <w:rPr>
          <w:rFonts w:ascii="宋体" w:cs="宋体"/>
          <w:bCs/>
          <w:szCs w:val="21"/>
        </w:rPr>
      </w:pPr>
      <w:r>
        <w:rPr>
          <w:rFonts w:ascii="宋体" w:cs="宋体"/>
          <w:bCs/>
          <w:szCs w:val="21"/>
        </w:rPr>
        <w:t>(1)起始日期：</w:t>
      </w:r>
      <w:r>
        <w:rPr>
          <w:rFonts w:ascii="宋体" w:cs="宋体"/>
          <w:snapToGrid w:val="0"/>
          <w:color w:val="000000"/>
          <w:kern w:val="0"/>
          <w:szCs w:val="21"/>
          <w:u w:val="single"/>
          <w:lang w:eastAsia="en-US"/>
        </w:rPr>
        <w:t xml:space="preserve">  </w:t>
      </w:r>
      <w:r>
        <w:rPr>
          <w:rFonts w:hint="eastAsia" w:ascii="宋体" w:cs="宋体"/>
          <w:snapToGrid w:val="0"/>
          <w:color w:val="000000"/>
          <w:kern w:val="0"/>
          <w:szCs w:val="21"/>
          <w:u w:val="single"/>
        </w:rPr>
        <w:t xml:space="preserve"> </w:t>
      </w:r>
      <w:r>
        <w:rPr>
          <w:rFonts w:ascii="宋体" w:cs="宋体"/>
          <w:snapToGrid w:val="0"/>
          <w:color w:val="000000"/>
          <w:kern w:val="0"/>
          <w:szCs w:val="21"/>
          <w:u w:val="single"/>
          <w:lang w:eastAsia="en-US"/>
        </w:rPr>
        <w:t xml:space="preserve">  </w:t>
      </w:r>
      <w:r>
        <w:rPr>
          <w:rFonts w:ascii="宋体" w:cs="宋体"/>
          <w:bCs/>
          <w:szCs w:val="21"/>
        </w:rPr>
        <w:t>年</w:t>
      </w:r>
      <w:r>
        <w:rPr>
          <w:rFonts w:ascii="宋体" w:cs="宋体"/>
          <w:snapToGrid w:val="0"/>
          <w:color w:val="000000"/>
          <w:kern w:val="0"/>
          <w:szCs w:val="21"/>
          <w:u w:val="single"/>
          <w:lang w:eastAsia="en-US"/>
        </w:rPr>
        <w:t xml:space="preserve">    </w:t>
      </w:r>
      <w:r>
        <w:rPr>
          <w:rFonts w:ascii="宋体" w:cs="宋体"/>
          <w:bCs/>
          <w:szCs w:val="21"/>
        </w:rPr>
        <w:t>月</w:t>
      </w:r>
      <w:r>
        <w:rPr>
          <w:rFonts w:ascii="宋体" w:cs="宋体"/>
          <w:snapToGrid w:val="0"/>
          <w:color w:val="000000"/>
          <w:kern w:val="0"/>
          <w:szCs w:val="21"/>
          <w:u w:val="single"/>
          <w:lang w:eastAsia="en-US"/>
        </w:rPr>
        <w:t xml:space="preserve">    </w:t>
      </w:r>
      <w:r>
        <w:rPr>
          <w:rFonts w:ascii="宋体" w:cs="宋体"/>
          <w:bCs/>
          <w:szCs w:val="21"/>
        </w:rPr>
        <w:t>日，完成日期：</w:t>
      </w:r>
      <w:r>
        <w:rPr>
          <w:rFonts w:ascii="宋体" w:cs="宋体"/>
          <w:snapToGrid w:val="0"/>
          <w:color w:val="000000"/>
          <w:kern w:val="0"/>
          <w:szCs w:val="21"/>
          <w:u w:val="single"/>
          <w:lang w:eastAsia="en-US"/>
        </w:rPr>
        <w:t xml:space="preserve">  </w:t>
      </w:r>
      <w:r>
        <w:rPr>
          <w:rFonts w:hint="eastAsia" w:ascii="宋体" w:cs="宋体"/>
          <w:snapToGrid w:val="0"/>
          <w:color w:val="000000"/>
          <w:kern w:val="0"/>
          <w:szCs w:val="21"/>
          <w:u w:val="single"/>
        </w:rPr>
        <w:t xml:space="preserve"> </w:t>
      </w:r>
      <w:r>
        <w:rPr>
          <w:rFonts w:ascii="宋体" w:cs="宋体"/>
          <w:snapToGrid w:val="0"/>
          <w:color w:val="000000"/>
          <w:kern w:val="0"/>
          <w:szCs w:val="21"/>
          <w:u w:val="single"/>
          <w:lang w:eastAsia="en-US"/>
        </w:rPr>
        <w:t xml:space="preserve">  </w:t>
      </w:r>
      <w:r>
        <w:rPr>
          <w:rFonts w:ascii="宋体" w:cs="宋体"/>
          <w:bCs/>
          <w:szCs w:val="21"/>
        </w:rPr>
        <w:t>年</w:t>
      </w:r>
      <w:r>
        <w:rPr>
          <w:rFonts w:ascii="宋体" w:cs="宋体"/>
          <w:snapToGrid w:val="0"/>
          <w:color w:val="000000"/>
          <w:kern w:val="0"/>
          <w:szCs w:val="21"/>
          <w:u w:val="single"/>
          <w:lang w:eastAsia="en-US"/>
        </w:rPr>
        <w:t xml:space="preserve">    </w:t>
      </w:r>
      <w:r>
        <w:rPr>
          <w:rFonts w:ascii="宋体" w:cs="宋体"/>
          <w:bCs/>
          <w:szCs w:val="21"/>
        </w:rPr>
        <w:t>月</w:t>
      </w:r>
      <w:r>
        <w:rPr>
          <w:rFonts w:ascii="宋体" w:cs="宋体"/>
          <w:snapToGrid w:val="0"/>
          <w:color w:val="000000"/>
          <w:kern w:val="0"/>
          <w:szCs w:val="21"/>
          <w:u w:val="single"/>
          <w:lang w:eastAsia="en-US"/>
        </w:rPr>
        <w:t xml:space="preserve">    </w:t>
      </w:r>
      <w:r>
        <w:rPr>
          <w:rFonts w:ascii="宋体" w:cs="宋体"/>
          <w:bCs/>
          <w:szCs w:val="21"/>
        </w:rPr>
        <w:t>日。</w:t>
      </w:r>
    </w:p>
    <w:p w14:paraId="499423BE">
      <w:pPr>
        <w:spacing w:line="400" w:lineRule="exact"/>
        <w:ind w:firstLine="420" w:firstLineChars="200"/>
        <w:rPr>
          <w:rFonts w:ascii="宋体" w:cs="宋体"/>
          <w:bCs/>
          <w:szCs w:val="21"/>
        </w:rPr>
      </w:pPr>
      <w:r>
        <w:rPr>
          <w:rFonts w:ascii="宋体" w:cs="宋体"/>
          <w:bCs/>
          <w:szCs w:val="21"/>
        </w:rPr>
        <w:t>(2)履约地点：</w:t>
      </w:r>
      <w:r>
        <w:rPr>
          <w:rFonts w:ascii="宋体" w:cs="宋体"/>
          <w:snapToGrid w:val="0"/>
          <w:color w:val="000000"/>
          <w:kern w:val="0"/>
          <w:szCs w:val="21"/>
          <w:u w:val="single"/>
        </w:rPr>
        <w:t xml:space="preserve">           </w:t>
      </w:r>
      <w:r>
        <w:rPr>
          <w:rFonts w:ascii="宋体" w:cs="宋体"/>
          <w:bCs/>
          <w:szCs w:val="21"/>
        </w:rPr>
        <w:t xml:space="preserve">                 </w:t>
      </w:r>
    </w:p>
    <w:p w14:paraId="18722607">
      <w:pPr>
        <w:spacing w:line="400" w:lineRule="exact"/>
        <w:ind w:firstLine="420" w:firstLineChars="200"/>
        <w:rPr>
          <w:rFonts w:ascii="宋体" w:cs="宋体"/>
          <w:bCs/>
          <w:szCs w:val="21"/>
        </w:rPr>
      </w:pPr>
      <w:r>
        <w:rPr>
          <w:rFonts w:ascii="宋体" w:cs="宋体"/>
          <w:bCs/>
          <w:szCs w:val="21"/>
        </w:rPr>
        <w:t>(3)履约担保：是否收取履约保证金：口是   口 否</w:t>
      </w:r>
    </w:p>
    <w:p w14:paraId="113930E6">
      <w:pPr>
        <w:spacing w:line="400" w:lineRule="exact"/>
        <w:ind w:left="1701" w:leftChars="200" w:hanging="1281" w:hangingChars="610"/>
        <w:rPr>
          <w:rFonts w:ascii="宋体" w:cs="宋体"/>
          <w:bCs/>
          <w:szCs w:val="21"/>
        </w:rPr>
      </w:pPr>
      <w:r>
        <w:rPr>
          <w:rFonts w:ascii="宋体" w:cs="宋体"/>
          <w:bCs/>
          <w:szCs w:val="21"/>
        </w:rPr>
        <w:t>收取履约保证金形式：</w:t>
      </w:r>
      <w:r>
        <w:rPr>
          <w:rFonts w:ascii="宋体" w:cs="宋体"/>
          <w:snapToGrid w:val="0"/>
          <w:color w:val="000000"/>
          <w:kern w:val="0"/>
          <w:szCs w:val="21"/>
          <w:u w:val="single"/>
        </w:rPr>
        <w:t xml:space="preserve">                             </w:t>
      </w:r>
      <w:r>
        <w:rPr>
          <w:rFonts w:ascii="宋体" w:cs="宋体"/>
          <w:bCs/>
          <w:szCs w:val="21"/>
        </w:rPr>
        <w:t xml:space="preserve"> </w:t>
      </w:r>
    </w:p>
    <w:p w14:paraId="4375B531">
      <w:pPr>
        <w:spacing w:line="400" w:lineRule="exact"/>
        <w:ind w:left="1701" w:leftChars="200" w:hanging="1281" w:hangingChars="610"/>
        <w:rPr>
          <w:rFonts w:ascii="宋体" w:cs="宋体"/>
          <w:bCs/>
          <w:szCs w:val="21"/>
        </w:rPr>
      </w:pPr>
      <w:r>
        <w:rPr>
          <w:rFonts w:ascii="宋体" w:cs="宋体"/>
          <w:bCs/>
          <w:szCs w:val="21"/>
        </w:rPr>
        <w:t>收取履约保证金金额：</w:t>
      </w:r>
      <w:r>
        <w:rPr>
          <w:rFonts w:ascii="宋体" w:cs="宋体"/>
          <w:snapToGrid w:val="0"/>
          <w:color w:val="000000"/>
          <w:kern w:val="0"/>
          <w:szCs w:val="21"/>
          <w:u w:val="single"/>
        </w:rPr>
        <w:t xml:space="preserve">                             </w:t>
      </w:r>
      <w:r>
        <w:rPr>
          <w:rFonts w:ascii="宋体" w:cs="宋体"/>
          <w:bCs/>
          <w:szCs w:val="21"/>
        </w:rPr>
        <w:t xml:space="preserve"> </w:t>
      </w:r>
    </w:p>
    <w:p w14:paraId="28D9F74A">
      <w:pPr>
        <w:spacing w:line="400" w:lineRule="exact"/>
        <w:ind w:left="1701" w:leftChars="200" w:hanging="1281" w:hangingChars="610"/>
        <w:rPr>
          <w:rFonts w:ascii="宋体" w:cs="宋体"/>
          <w:bCs/>
          <w:szCs w:val="21"/>
        </w:rPr>
      </w:pPr>
      <w:r>
        <w:rPr>
          <w:rFonts w:ascii="宋体" w:cs="宋体"/>
          <w:bCs/>
          <w:szCs w:val="21"/>
        </w:rPr>
        <w:t>履约担保期限：</w:t>
      </w:r>
      <w:r>
        <w:rPr>
          <w:rFonts w:ascii="宋体" w:cs="宋体"/>
          <w:snapToGrid w:val="0"/>
          <w:color w:val="000000"/>
          <w:kern w:val="0"/>
          <w:szCs w:val="21"/>
          <w:u w:val="single"/>
        </w:rPr>
        <w:t xml:space="preserve">                             </w:t>
      </w:r>
      <w:r>
        <w:rPr>
          <w:rFonts w:ascii="宋体" w:cs="宋体"/>
          <w:bCs/>
          <w:szCs w:val="21"/>
        </w:rPr>
        <w:t xml:space="preserve"> </w:t>
      </w:r>
    </w:p>
    <w:p w14:paraId="54DBE416">
      <w:pPr>
        <w:spacing w:line="400" w:lineRule="exact"/>
        <w:ind w:firstLine="420" w:firstLineChars="200"/>
        <w:rPr>
          <w:rFonts w:ascii="宋体" w:cs="宋体"/>
          <w:bCs/>
          <w:szCs w:val="21"/>
        </w:rPr>
      </w:pPr>
      <w:r>
        <w:rPr>
          <w:rFonts w:ascii="宋体" w:cs="宋体"/>
          <w:bCs/>
          <w:szCs w:val="21"/>
        </w:rPr>
        <w:t>(4)分期履行要求</w:t>
      </w:r>
      <w:r>
        <w:rPr>
          <w:rFonts w:hint="eastAsia" w:ascii="宋体" w:cs="宋体"/>
          <w:bCs/>
          <w:szCs w:val="21"/>
        </w:rPr>
        <w:t>：</w:t>
      </w:r>
      <w:r>
        <w:rPr>
          <w:rFonts w:ascii="宋体" w:cs="宋体"/>
          <w:snapToGrid w:val="0"/>
          <w:color w:val="000000"/>
          <w:kern w:val="0"/>
          <w:szCs w:val="21"/>
          <w:u w:val="single"/>
        </w:rPr>
        <w:t xml:space="preserve">                             </w:t>
      </w:r>
      <w:r>
        <w:rPr>
          <w:rFonts w:ascii="宋体" w:cs="宋体"/>
          <w:bCs/>
          <w:szCs w:val="21"/>
        </w:rPr>
        <w:t xml:space="preserve">  </w:t>
      </w:r>
    </w:p>
    <w:p w14:paraId="0F901EEC">
      <w:pPr>
        <w:spacing w:line="400" w:lineRule="exact"/>
        <w:ind w:firstLine="420" w:firstLineChars="200"/>
        <w:rPr>
          <w:rFonts w:ascii="宋体" w:cs="宋体"/>
          <w:bCs/>
          <w:szCs w:val="21"/>
        </w:rPr>
      </w:pPr>
      <w:r>
        <w:rPr>
          <w:rFonts w:ascii="宋体" w:cs="宋体"/>
          <w:bCs/>
          <w:szCs w:val="21"/>
        </w:rPr>
        <w:t>(5)风险处置措施和替代方案：</w:t>
      </w:r>
      <w:r>
        <w:rPr>
          <w:rFonts w:ascii="宋体" w:cs="宋体"/>
          <w:snapToGrid w:val="0"/>
          <w:color w:val="000000"/>
          <w:kern w:val="0"/>
          <w:szCs w:val="21"/>
          <w:u w:val="single"/>
        </w:rPr>
        <w:t xml:space="preserve">                             </w:t>
      </w:r>
    </w:p>
    <w:p w14:paraId="76834D64">
      <w:pPr>
        <w:spacing w:line="400" w:lineRule="exact"/>
        <w:ind w:firstLine="420" w:firstLineChars="200"/>
        <w:rPr>
          <w:rFonts w:ascii="宋体" w:cs="宋体"/>
          <w:bCs/>
          <w:szCs w:val="21"/>
        </w:rPr>
      </w:pPr>
      <w:r>
        <w:rPr>
          <w:rFonts w:ascii="宋体" w:cs="宋体"/>
          <w:bCs/>
          <w:szCs w:val="21"/>
        </w:rPr>
        <w:t>4. 合同验收</w:t>
      </w:r>
    </w:p>
    <w:p w14:paraId="2D82BD83">
      <w:pPr>
        <w:spacing w:line="400" w:lineRule="exact"/>
        <w:ind w:firstLine="420" w:firstLineChars="200"/>
        <w:rPr>
          <w:rFonts w:ascii="宋体" w:cs="宋体"/>
          <w:bCs/>
          <w:szCs w:val="21"/>
        </w:rPr>
      </w:pPr>
      <w:r>
        <w:rPr>
          <w:rFonts w:ascii="宋体" w:cs="宋体"/>
          <w:bCs/>
          <w:szCs w:val="21"/>
        </w:rPr>
        <w:t>(1)验收组织方式：口自行组织</w:t>
      </w:r>
      <w:r>
        <w:rPr>
          <w:rFonts w:hint="eastAsia" w:ascii="宋体" w:cs="宋体"/>
          <w:bCs/>
          <w:szCs w:val="21"/>
        </w:rPr>
        <w:t xml:space="preserve"> </w:t>
      </w:r>
      <w:r>
        <w:rPr>
          <w:rFonts w:ascii="宋体" w:cs="宋体"/>
          <w:bCs/>
          <w:szCs w:val="21"/>
        </w:rPr>
        <w:t>□委托第三方组织</w:t>
      </w:r>
    </w:p>
    <w:p w14:paraId="29B6B2A2">
      <w:pPr>
        <w:spacing w:line="400" w:lineRule="exact"/>
        <w:ind w:firstLine="420" w:firstLineChars="200"/>
        <w:rPr>
          <w:rFonts w:ascii="宋体" w:cs="宋体"/>
          <w:bCs/>
          <w:szCs w:val="21"/>
        </w:rPr>
      </w:pPr>
      <w:r>
        <w:rPr>
          <w:rFonts w:hint="eastAsia" w:ascii="宋体" w:cs="宋体"/>
          <w:bCs/>
          <w:szCs w:val="21"/>
        </w:rPr>
        <w:t xml:space="preserve">   </w:t>
      </w:r>
      <w:r>
        <w:rPr>
          <w:rFonts w:ascii="宋体" w:cs="宋体"/>
          <w:bCs/>
          <w:szCs w:val="21"/>
        </w:rPr>
        <w:t>验收主体：</w:t>
      </w:r>
      <w:r>
        <w:rPr>
          <w:rFonts w:ascii="宋体" w:cs="宋体"/>
          <w:snapToGrid w:val="0"/>
          <w:color w:val="000000"/>
          <w:kern w:val="0"/>
          <w:szCs w:val="21"/>
          <w:u w:val="single"/>
        </w:rPr>
        <w:t xml:space="preserve">                   </w:t>
      </w:r>
      <w:r>
        <w:rPr>
          <w:rFonts w:ascii="宋体" w:cs="宋体"/>
          <w:bCs/>
          <w:szCs w:val="21"/>
        </w:rPr>
        <w:t xml:space="preserve">                    </w:t>
      </w:r>
    </w:p>
    <w:p w14:paraId="1A10603E">
      <w:pPr>
        <w:spacing w:line="400" w:lineRule="exact"/>
        <w:ind w:firstLine="420" w:firstLineChars="200"/>
        <w:rPr>
          <w:rFonts w:ascii="宋体" w:cs="宋体"/>
          <w:bCs/>
          <w:szCs w:val="21"/>
        </w:rPr>
      </w:pPr>
      <w:r>
        <w:rPr>
          <w:rFonts w:ascii="宋体" w:cs="宋体"/>
          <w:bCs/>
          <w:szCs w:val="21"/>
        </w:rPr>
        <w:t>是否邀请本项目的其他供应商参加验收：口是 口否</w:t>
      </w:r>
    </w:p>
    <w:p w14:paraId="2AA93EEC">
      <w:pPr>
        <w:spacing w:line="400" w:lineRule="exact"/>
        <w:ind w:firstLine="420" w:firstLineChars="200"/>
        <w:rPr>
          <w:rFonts w:ascii="宋体" w:cs="宋体"/>
          <w:bCs/>
          <w:szCs w:val="21"/>
        </w:rPr>
      </w:pPr>
      <w:r>
        <w:rPr>
          <w:rFonts w:ascii="宋体" w:cs="宋体"/>
          <w:bCs/>
          <w:szCs w:val="21"/>
        </w:rPr>
        <w:t>是否邀请专家参加验收：口是 口 否</w:t>
      </w:r>
    </w:p>
    <w:p w14:paraId="6430110F">
      <w:pPr>
        <w:spacing w:line="400" w:lineRule="exact"/>
        <w:ind w:firstLine="420" w:firstLineChars="200"/>
        <w:rPr>
          <w:rFonts w:ascii="宋体" w:cs="宋体"/>
          <w:bCs/>
          <w:szCs w:val="21"/>
        </w:rPr>
      </w:pPr>
      <w:r>
        <w:rPr>
          <w:rFonts w:ascii="宋体" w:cs="宋体"/>
          <w:bCs/>
          <w:szCs w:val="21"/>
        </w:rPr>
        <w:t>是否邀请服务对象参加验收：口是 口否</w:t>
      </w:r>
    </w:p>
    <w:p w14:paraId="06A94235">
      <w:pPr>
        <w:spacing w:line="400" w:lineRule="exact"/>
        <w:ind w:firstLine="420" w:firstLineChars="200"/>
        <w:rPr>
          <w:rFonts w:ascii="宋体" w:cs="宋体"/>
          <w:bCs/>
          <w:szCs w:val="21"/>
        </w:rPr>
      </w:pPr>
      <w:r>
        <w:rPr>
          <w:rFonts w:ascii="宋体" w:cs="宋体"/>
          <w:bCs/>
          <w:szCs w:val="21"/>
        </w:rPr>
        <w:t>是否邀请第三方检测机构参加验收：口是  口否</w:t>
      </w:r>
    </w:p>
    <w:p w14:paraId="529E64DA">
      <w:pPr>
        <w:spacing w:line="400" w:lineRule="exact"/>
        <w:ind w:firstLine="420" w:firstLineChars="200"/>
        <w:rPr>
          <w:rFonts w:ascii="宋体" w:cs="宋体"/>
          <w:bCs/>
          <w:szCs w:val="21"/>
        </w:rPr>
      </w:pPr>
      <w:r>
        <w:rPr>
          <w:rFonts w:ascii="宋体" w:cs="宋体"/>
          <w:bCs/>
          <w:szCs w:val="21"/>
        </w:rPr>
        <w:t>是否进行抽查检测：□是，抽查比例：</w:t>
      </w:r>
      <w:r>
        <w:rPr>
          <w:rFonts w:ascii="宋体" w:cs="宋体"/>
          <w:snapToGrid w:val="0"/>
          <w:color w:val="000000"/>
          <w:kern w:val="0"/>
          <w:szCs w:val="21"/>
          <w:u w:val="single"/>
        </w:rPr>
        <w:t xml:space="preserve">        </w:t>
      </w:r>
      <w:r>
        <w:rPr>
          <w:rFonts w:ascii="宋体" w:cs="宋体"/>
          <w:bCs/>
          <w:szCs w:val="21"/>
        </w:rPr>
        <w:t xml:space="preserve"> 口否</w:t>
      </w:r>
    </w:p>
    <w:p w14:paraId="5CA69692">
      <w:pPr>
        <w:spacing w:line="400" w:lineRule="exact"/>
        <w:ind w:firstLine="420" w:firstLineChars="200"/>
        <w:rPr>
          <w:rFonts w:ascii="宋体" w:cs="宋体"/>
          <w:bCs/>
          <w:szCs w:val="21"/>
        </w:rPr>
      </w:pPr>
      <w:r>
        <w:rPr>
          <w:rFonts w:ascii="宋体" w:cs="宋体"/>
          <w:bCs/>
          <w:szCs w:val="21"/>
        </w:rPr>
        <w:t>是否存在破坏性检测：□是，</w:t>
      </w:r>
      <w:r>
        <w:rPr>
          <w:rFonts w:ascii="宋体" w:cs="宋体"/>
          <w:bCs/>
          <w:szCs w:val="21"/>
          <w:u w:val="single"/>
        </w:rPr>
        <w:t>(应明确对被破坏的检测产品的处理方式)</w:t>
      </w:r>
    </w:p>
    <w:p w14:paraId="1A662096">
      <w:pPr>
        <w:spacing w:line="400" w:lineRule="exact"/>
        <w:ind w:firstLine="420" w:firstLineChars="200"/>
        <w:rPr>
          <w:rFonts w:ascii="宋体" w:cs="宋体"/>
          <w:bCs/>
          <w:szCs w:val="21"/>
        </w:rPr>
      </w:pPr>
      <w:r>
        <w:rPr>
          <w:rFonts w:hint="eastAsia" w:ascii="宋体" w:cs="宋体"/>
          <w:bCs/>
          <w:szCs w:val="21"/>
        </w:rPr>
        <w:t xml:space="preserve">                    </w:t>
      </w:r>
      <w:r>
        <w:rPr>
          <w:rFonts w:ascii="宋体" w:cs="宋体"/>
          <w:bCs/>
          <w:szCs w:val="21"/>
        </w:rPr>
        <w:t>口否</w:t>
      </w:r>
    </w:p>
    <w:p w14:paraId="5B718E94">
      <w:pPr>
        <w:spacing w:line="400" w:lineRule="exact"/>
        <w:ind w:firstLine="420" w:firstLineChars="200"/>
        <w:rPr>
          <w:rFonts w:ascii="宋体" w:cs="宋体"/>
          <w:bCs/>
          <w:szCs w:val="21"/>
        </w:rPr>
      </w:pPr>
      <w:r>
        <w:rPr>
          <w:rFonts w:ascii="宋体" w:cs="宋体"/>
          <w:bCs/>
          <w:szCs w:val="21"/>
        </w:rPr>
        <w:t>验收组织的其他事项</w:t>
      </w:r>
      <w:r>
        <w:rPr>
          <w:rFonts w:hint="eastAsia" w:ascii="宋体" w:cs="宋体"/>
          <w:bCs/>
          <w:szCs w:val="21"/>
        </w:rPr>
        <w:t>：</w:t>
      </w:r>
      <w:r>
        <w:rPr>
          <w:rFonts w:ascii="宋体" w:cs="宋体"/>
          <w:snapToGrid w:val="0"/>
          <w:color w:val="000000"/>
          <w:kern w:val="0"/>
          <w:szCs w:val="21"/>
          <w:u w:val="single"/>
        </w:rPr>
        <w:t xml:space="preserve">        </w:t>
      </w:r>
      <w:r>
        <w:rPr>
          <w:rFonts w:ascii="宋体" w:cs="宋体"/>
          <w:bCs/>
          <w:szCs w:val="21"/>
        </w:rPr>
        <w:t xml:space="preserve">                   </w:t>
      </w:r>
    </w:p>
    <w:p w14:paraId="25EFA2C7">
      <w:pPr>
        <w:spacing w:line="400" w:lineRule="exact"/>
        <w:ind w:firstLine="420" w:firstLineChars="200"/>
        <w:rPr>
          <w:rFonts w:ascii="宋体" w:cs="宋体"/>
          <w:bCs/>
          <w:szCs w:val="21"/>
        </w:rPr>
      </w:pPr>
      <w:r>
        <w:rPr>
          <w:rFonts w:ascii="宋体" w:cs="宋体"/>
          <w:bCs/>
          <w:szCs w:val="21"/>
        </w:rPr>
        <w:t>(2)履约验收时间：</w:t>
      </w:r>
      <w:r>
        <w:rPr>
          <w:rFonts w:ascii="宋体" w:cs="宋体"/>
          <w:bCs/>
          <w:szCs w:val="21"/>
          <w:u w:val="single"/>
        </w:rPr>
        <w:t xml:space="preserve"> (计划于何时验收/供应商提出验收申请之日起   日内组织验收</w:t>
      </w:r>
      <w:r>
        <w:rPr>
          <w:rFonts w:hint="eastAsia" w:ascii="宋体" w:cs="宋体"/>
          <w:bCs/>
          <w:szCs w:val="21"/>
          <w:u w:val="single"/>
        </w:rPr>
        <w:t>）</w:t>
      </w:r>
    </w:p>
    <w:p w14:paraId="1596B9C1">
      <w:pPr>
        <w:spacing w:line="400" w:lineRule="exact"/>
        <w:ind w:firstLine="420" w:firstLineChars="200"/>
        <w:rPr>
          <w:rFonts w:ascii="宋体" w:cs="宋体"/>
          <w:bCs/>
          <w:szCs w:val="21"/>
        </w:rPr>
      </w:pPr>
      <w:r>
        <w:rPr>
          <w:rFonts w:ascii="宋体" w:cs="宋体"/>
          <w:bCs/>
          <w:szCs w:val="21"/>
        </w:rPr>
        <w:t>(3)履约验收方式：口一次性验收</w:t>
      </w:r>
    </w:p>
    <w:p w14:paraId="2E2F215D">
      <w:pPr>
        <w:spacing w:line="400" w:lineRule="exact"/>
        <w:ind w:firstLine="420" w:firstLineChars="200"/>
        <w:rPr>
          <w:rFonts w:ascii="宋体" w:cs="宋体"/>
          <w:bCs/>
          <w:szCs w:val="21"/>
        </w:rPr>
      </w:pPr>
      <w:r>
        <w:rPr>
          <w:rFonts w:hint="eastAsia" w:ascii="宋体" w:cs="宋体"/>
          <w:bCs/>
          <w:szCs w:val="21"/>
        </w:rPr>
        <w:t xml:space="preserve">                </w:t>
      </w:r>
      <w:r>
        <w:rPr>
          <w:rFonts w:ascii="宋体" w:cs="宋体"/>
          <w:bCs/>
          <w:szCs w:val="21"/>
        </w:rPr>
        <w:t>口分期/分项验收：</w:t>
      </w:r>
      <w:r>
        <w:rPr>
          <w:rFonts w:ascii="宋体" w:cs="宋体"/>
          <w:bCs/>
          <w:szCs w:val="21"/>
          <w:u w:val="single"/>
        </w:rPr>
        <w:t xml:space="preserve"> (应明确分期/分项验收的工作安排)</w:t>
      </w:r>
      <w:r>
        <w:rPr>
          <w:rFonts w:ascii="宋体" w:cs="宋体"/>
          <w:bCs/>
          <w:szCs w:val="21"/>
        </w:rPr>
        <w:t xml:space="preserve">  </w:t>
      </w:r>
    </w:p>
    <w:p w14:paraId="0F95118C">
      <w:pPr>
        <w:spacing w:line="400" w:lineRule="exact"/>
        <w:ind w:firstLine="420" w:firstLineChars="200"/>
        <w:rPr>
          <w:rFonts w:ascii="宋体" w:cs="宋体"/>
          <w:bCs/>
          <w:szCs w:val="21"/>
        </w:rPr>
      </w:pPr>
      <w:r>
        <w:rPr>
          <w:rFonts w:ascii="宋体" w:cs="宋体"/>
          <w:bCs/>
          <w:szCs w:val="21"/>
        </w:rPr>
        <w:t>(4)履约验收程序</w:t>
      </w:r>
      <w:r>
        <w:rPr>
          <w:rFonts w:hint="eastAsia" w:ascii="宋体" w:cs="宋体"/>
          <w:bCs/>
          <w:szCs w:val="21"/>
        </w:rPr>
        <w:t>：</w:t>
      </w:r>
      <w:r>
        <w:rPr>
          <w:rFonts w:ascii="宋体" w:cs="宋体"/>
          <w:snapToGrid w:val="0"/>
          <w:color w:val="000000"/>
          <w:kern w:val="0"/>
          <w:sz w:val="22"/>
          <w:szCs w:val="22"/>
          <w:u w:val="single"/>
        </w:rPr>
        <w:t xml:space="preserve">                                   </w:t>
      </w:r>
      <w:r>
        <w:rPr>
          <w:rFonts w:ascii="宋体" w:cs="宋体"/>
          <w:bCs/>
          <w:szCs w:val="21"/>
        </w:rPr>
        <w:t xml:space="preserve"> </w:t>
      </w:r>
    </w:p>
    <w:p w14:paraId="0E460874">
      <w:pPr>
        <w:spacing w:line="400" w:lineRule="exact"/>
        <w:ind w:firstLine="420" w:firstLineChars="200"/>
        <w:rPr>
          <w:rFonts w:ascii="宋体" w:cs="宋体"/>
          <w:bCs/>
          <w:szCs w:val="21"/>
        </w:rPr>
      </w:pPr>
      <w:r>
        <w:rPr>
          <w:rFonts w:ascii="宋体" w:cs="宋体"/>
          <w:bCs/>
          <w:szCs w:val="21"/>
        </w:rPr>
        <w:t>(5)履约验收的内容：</w:t>
      </w:r>
      <w:r>
        <w:rPr>
          <w:rFonts w:ascii="宋体" w:cs="宋体"/>
          <w:bCs/>
          <w:szCs w:val="21"/>
          <w:u w:val="single"/>
        </w:rPr>
        <w:t>(应当包括每一项技术和商务要求的履约情况，特别是落实政府采购扶持中小企业，支持绿色发展和乡村振兴等政策情况)</w:t>
      </w:r>
      <w:r>
        <w:rPr>
          <w:rFonts w:ascii="宋体" w:cs="宋体"/>
          <w:bCs/>
          <w:szCs w:val="21"/>
        </w:rPr>
        <w:t xml:space="preserve">            </w:t>
      </w:r>
    </w:p>
    <w:p w14:paraId="16570B39">
      <w:pPr>
        <w:spacing w:line="400" w:lineRule="exact"/>
        <w:ind w:firstLine="420" w:firstLineChars="200"/>
        <w:rPr>
          <w:rFonts w:ascii="宋体" w:cs="宋体"/>
          <w:bCs/>
          <w:szCs w:val="21"/>
        </w:rPr>
      </w:pPr>
      <w:r>
        <w:rPr>
          <w:rFonts w:ascii="宋体" w:cs="宋体"/>
          <w:bCs/>
          <w:szCs w:val="21"/>
        </w:rPr>
        <w:t>(6)履约验收标准：</w:t>
      </w:r>
      <w:r>
        <w:rPr>
          <w:rFonts w:ascii="宋体" w:cs="宋体"/>
          <w:snapToGrid w:val="0"/>
          <w:color w:val="000000"/>
          <w:kern w:val="0"/>
          <w:sz w:val="22"/>
          <w:szCs w:val="22"/>
          <w:u w:val="single"/>
        </w:rPr>
        <w:t xml:space="preserve">                                   </w:t>
      </w:r>
      <w:r>
        <w:rPr>
          <w:rFonts w:ascii="宋体" w:cs="宋体"/>
          <w:bCs/>
          <w:szCs w:val="21"/>
        </w:rPr>
        <w:t xml:space="preserve">      </w:t>
      </w:r>
    </w:p>
    <w:p w14:paraId="1A559109">
      <w:pPr>
        <w:spacing w:line="400" w:lineRule="exact"/>
        <w:ind w:firstLine="420" w:firstLineChars="200"/>
        <w:rPr>
          <w:rFonts w:ascii="宋体" w:cs="宋体"/>
          <w:bCs/>
          <w:szCs w:val="21"/>
        </w:rPr>
      </w:pPr>
      <w:r>
        <w:rPr>
          <w:rFonts w:ascii="宋体" w:cs="宋体"/>
          <w:bCs/>
          <w:szCs w:val="21"/>
        </w:rPr>
        <w:t>(7)是否以采购活动中供应商提供的样品作为参考：口是 口否</w:t>
      </w:r>
    </w:p>
    <w:p w14:paraId="32886B9F">
      <w:pPr>
        <w:spacing w:line="400" w:lineRule="exact"/>
        <w:ind w:firstLine="420" w:firstLineChars="200"/>
        <w:rPr>
          <w:rFonts w:ascii="宋体" w:cs="宋体"/>
          <w:bCs/>
          <w:szCs w:val="21"/>
        </w:rPr>
      </w:pPr>
      <w:r>
        <w:rPr>
          <w:rFonts w:ascii="宋体" w:cs="宋体"/>
          <w:bCs/>
          <w:szCs w:val="21"/>
        </w:rPr>
        <w:t>(8)履约验收其他事项：</w:t>
      </w:r>
      <w:r>
        <w:rPr>
          <w:rFonts w:ascii="宋体" w:cs="宋体"/>
          <w:bCs/>
          <w:szCs w:val="21"/>
          <w:u w:val="single"/>
        </w:rPr>
        <w:t xml:space="preserve"> ( 产 权 过 户 登 记 等 )   </w:t>
      </w:r>
      <w:r>
        <w:rPr>
          <w:rFonts w:ascii="宋体" w:cs="宋体"/>
          <w:bCs/>
          <w:szCs w:val="21"/>
        </w:rPr>
        <w:t xml:space="preserve">     </w:t>
      </w:r>
    </w:p>
    <w:p w14:paraId="440F1F81">
      <w:pPr>
        <w:spacing w:line="400" w:lineRule="exact"/>
        <w:ind w:firstLine="420" w:firstLineChars="200"/>
        <w:rPr>
          <w:rFonts w:ascii="宋体" w:cs="宋体"/>
          <w:bCs/>
          <w:szCs w:val="21"/>
        </w:rPr>
      </w:pPr>
      <w:r>
        <w:rPr>
          <w:rFonts w:ascii="宋体" w:cs="宋体"/>
          <w:bCs/>
          <w:szCs w:val="21"/>
        </w:rPr>
        <w:t>5. 组成合同的文件</w:t>
      </w:r>
    </w:p>
    <w:p w14:paraId="6B5E28BB">
      <w:pPr>
        <w:spacing w:line="400" w:lineRule="exact"/>
        <w:ind w:firstLine="420" w:firstLineChars="200"/>
        <w:rPr>
          <w:rFonts w:ascii="宋体" w:cs="宋体"/>
          <w:bCs/>
          <w:szCs w:val="21"/>
        </w:rPr>
      </w:pPr>
      <w:r>
        <w:rPr>
          <w:rFonts w:ascii="宋体" w:cs="宋体"/>
          <w:bCs/>
          <w:szCs w:val="21"/>
        </w:rPr>
        <w:t>本协议书与下列文件一起构成合同文件，如下述文件之间有任何抵触、矛盾或歧义</w:t>
      </w:r>
      <w:r>
        <w:rPr>
          <w:rFonts w:hint="eastAsia" w:ascii="宋体" w:cs="宋体"/>
          <w:bCs/>
          <w:szCs w:val="21"/>
        </w:rPr>
        <w:t>，</w:t>
      </w:r>
      <w:r>
        <w:rPr>
          <w:rFonts w:ascii="宋体" w:cs="宋体"/>
          <w:bCs/>
          <w:szCs w:val="21"/>
        </w:rPr>
        <w:t>应按以下顺序解释：</w:t>
      </w:r>
    </w:p>
    <w:p w14:paraId="58C4DB64">
      <w:pPr>
        <w:spacing w:line="400" w:lineRule="exact"/>
        <w:ind w:firstLine="420" w:firstLineChars="200"/>
        <w:rPr>
          <w:rFonts w:ascii="宋体" w:cs="宋体"/>
          <w:bCs/>
          <w:szCs w:val="21"/>
        </w:rPr>
      </w:pPr>
      <w:r>
        <w:rPr>
          <w:rFonts w:ascii="宋体" w:cs="宋体"/>
          <w:bCs/>
          <w:szCs w:val="21"/>
        </w:rPr>
        <w:t>(1)政府采购合同协议书及其变更、补充协议</w:t>
      </w:r>
    </w:p>
    <w:p w14:paraId="23925873">
      <w:pPr>
        <w:spacing w:line="400" w:lineRule="exact"/>
        <w:ind w:firstLine="420" w:firstLineChars="200"/>
        <w:rPr>
          <w:rFonts w:ascii="宋体" w:cs="宋体"/>
          <w:bCs/>
          <w:szCs w:val="21"/>
        </w:rPr>
      </w:pPr>
      <w:r>
        <w:rPr>
          <w:rFonts w:ascii="宋体" w:cs="宋体"/>
          <w:bCs/>
          <w:szCs w:val="21"/>
        </w:rPr>
        <w:t>(2)政府采购合同专用条款</w:t>
      </w:r>
    </w:p>
    <w:p w14:paraId="41D1C2F6">
      <w:pPr>
        <w:spacing w:line="400" w:lineRule="exact"/>
        <w:ind w:firstLine="420" w:firstLineChars="200"/>
        <w:rPr>
          <w:rFonts w:ascii="宋体" w:cs="宋体"/>
          <w:bCs/>
          <w:szCs w:val="21"/>
        </w:rPr>
      </w:pPr>
      <w:r>
        <w:rPr>
          <w:rFonts w:ascii="宋体" w:cs="宋体"/>
          <w:bCs/>
          <w:szCs w:val="21"/>
        </w:rPr>
        <w:t>(3)政府采购合同通用条款</w:t>
      </w:r>
    </w:p>
    <w:p w14:paraId="4941B6CE">
      <w:pPr>
        <w:spacing w:line="400" w:lineRule="exact"/>
        <w:ind w:firstLine="420" w:firstLineChars="200"/>
        <w:rPr>
          <w:rFonts w:ascii="宋体" w:cs="宋体"/>
          <w:bCs/>
          <w:szCs w:val="21"/>
        </w:rPr>
      </w:pPr>
      <w:r>
        <w:rPr>
          <w:rFonts w:ascii="宋体" w:cs="宋体"/>
          <w:bCs/>
          <w:szCs w:val="21"/>
        </w:rPr>
        <w:t>(4)中标(成交)通知书</w:t>
      </w:r>
    </w:p>
    <w:p w14:paraId="5B9B7B26">
      <w:pPr>
        <w:spacing w:line="400" w:lineRule="exact"/>
        <w:ind w:firstLine="420" w:firstLineChars="200"/>
        <w:rPr>
          <w:rFonts w:ascii="宋体" w:cs="宋体"/>
          <w:bCs/>
          <w:szCs w:val="21"/>
        </w:rPr>
      </w:pPr>
      <w:r>
        <w:rPr>
          <w:rFonts w:ascii="宋体" w:cs="宋体"/>
          <w:bCs/>
          <w:szCs w:val="21"/>
        </w:rPr>
        <w:t>(5)投标(响应)文件</w:t>
      </w:r>
    </w:p>
    <w:p w14:paraId="6262C0F8">
      <w:pPr>
        <w:spacing w:line="400" w:lineRule="exact"/>
        <w:ind w:firstLine="420" w:firstLineChars="200"/>
        <w:rPr>
          <w:rFonts w:ascii="宋体" w:cs="宋体"/>
          <w:bCs/>
          <w:szCs w:val="21"/>
        </w:rPr>
      </w:pPr>
      <w:r>
        <w:rPr>
          <w:rFonts w:ascii="宋体" w:cs="宋体"/>
          <w:bCs/>
          <w:szCs w:val="21"/>
        </w:rPr>
        <w:t>(6)采购文件</w:t>
      </w:r>
    </w:p>
    <w:p w14:paraId="7065281A">
      <w:pPr>
        <w:spacing w:line="400" w:lineRule="exact"/>
        <w:ind w:firstLine="420" w:firstLineChars="200"/>
        <w:rPr>
          <w:rFonts w:ascii="宋体" w:cs="宋体"/>
          <w:bCs/>
          <w:szCs w:val="21"/>
        </w:rPr>
      </w:pPr>
      <w:r>
        <w:rPr>
          <w:rFonts w:ascii="宋体" w:cs="宋体"/>
          <w:bCs/>
          <w:szCs w:val="21"/>
        </w:rPr>
        <w:t>(7)有关技术文件，图纸</w:t>
      </w:r>
    </w:p>
    <w:p w14:paraId="1DBF6C48">
      <w:pPr>
        <w:spacing w:line="400" w:lineRule="exact"/>
        <w:ind w:firstLine="420" w:firstLineChars="200"/>
        <w:rPr>
          <w:rFonts w:ascii="宋体" w:cs="宋体"/>
          <w:bCs/>
          <w:szCs w:val="21"/>
        </w:rPr>
      </w:pPr>
      <w:r>
        <w:rPr>
          <w:rFonts w:ascii="宋体" w:cs="宋体"/>
          <w:bCs/>
          <w:szCs w:val="21"/>
        </w:rPr>
        <w:t>(8)国家法律、行政法规和规章制度规定或合同约定的作为合同组成部分的其他文件</w:t>
      </w:r>
    </w:p>
    <w:p w14:paraId="434E1429">
      <w:pPr>
        <w:spacing w:line="400" w:lineRule="exact"/>
        <w:ind w:firstLine="420" w:firstLineChars="200"/>
        <w:rPr>
          <w:rFonts w:ascii="宋体" w:cs="宋体"/>
          <w:bCs/>
          <w:szCs w:val="21"/>
        </w:rPr>
      </w:pPr>
      <w:r>
        <w:rPr>
          <w:rFonts w:ascii="宋体" w:cs="宋体"/>
          <w:bCs/>
          <w:szCs w:val="21"/>
        </w:rPr>
        <w:t>6. 合同生效</w:t>
      </w:r>
    </w:p>
    <w:p w14:paraId="6897678C">
      <w:pPr>
        <w:spacing w:line="400" w:lineRule="exact"/>
        <w:ind w:firstLine="420" w:firstLineChars="200"/>
        <w:rPr>
          <w:rFonts w:ascii="宋体" w:cs="宋体"/>
          <w:bCs/>
          <w:szCs w:val="21"/>
        </w:rPr>
      </w:pPr>
      <w:r>
        <w:rPr>
          <w:rFonts w:ascii="宋体" w:cs="宋体"/>
          <w:bCs/>
          <w:szCs w:val="21"/>
        </w:rPr>
        <w:t>本合同自</w:t>
      </w:r>
      <w:r>
        <w:rPr>
          <w:rFonts w:ascii="宋体" w:cs="宋体"/>
          <w:snapToGrid w:val="0"/>
          <w:color w:val="000000"/>
          <w:kern w:val="0"/>
          <w:szCs w:val="21"/>
          <w:u w:val="single"/>
        </w:rPr>
        <w:t xml:space="preserve">                            </w:t>
      </w:r>
      <w:r>
        <w:rPr>
          <w:rFonts w:ascii="宋体" w:cs="宋体"/>
          <w:bCs/>
          <w:szCs w:val="21"/>
        </w:rPr>
        <w:t>生效。</w:t>
      </w:r>
    </w:p>
    <w:p w14:paraId="7DB82D0F">
      <w:pPr>
        <w:spacing w:line="400" w:lineRule="exact"/>
        <w:ind w:firstLine="420" w:firstLineChars="200"/>
        <w:rPr>
          <w:rFonts w:ascii="宋体" w:cs="宋体"/>
          <w:bCs/>
          <w:szCs w:val="21"/>
        </w:rPr>
      </w:pPr>
      <w:r>
        <w:rPr>
          <w:rFonts w:ascii="宋体" w:cs="宋体"/>
          <w:bCs/>
          <w:szCs w:val="21"/>
        </w:rPr>
        <w:t>7. 合同份数</w:t>
      </w:r>
    </w:p>
    <w:p w14:paraId="416CF85F">
      <w:pPr>
        <w:spacing w:line="400" w:lineRule="exact"/>
        <w:ind w:firstLine="420" w:firstLineChars="200"/>
        <w:rPr>
          <w:rFonts w:ascii="宋体" w:cs="宋体"/>
          <w:bCs/>
          <w:szCs w:val="21"/>
        </w:rPr>
      </w:pPr>
      <w:r>
        <w:rPr>
          <w:rFonts w:ascii="宋体" w:cs="宋体"/>
          <w:bCs/>
          <w:szCs w:val="21"/>
        </w:rPr>
        <w:t>本合同一式</w:t>
      </w:r>
      <w:r>
        <w:rPr>
          <w:rFonts w:ascii="宋体" w:cs="宋体"/>
          <w:snapToGrid w:val="0"/>
          <w:color w:val="000000"/>
          <w:kern w:val="0"/>
          <w:szCs w:val="21"/>
          <w:u w:val="single"/>
        </w:rPr>
        <w:t xml:space="preserve">    </w:t>
      </w:r>
      <w:r>
        <w:rPr>
          <w:rFonts w:ascii="宋体" w:cs="宋体"/>
          <w:bCs/>
          <w:szCs w:val="21"/>
        </w:rPr>
        <w:t>份，甲方执</w:t>
      </w:r>
      <w:r>
        <w:rPr>
          <w:rFonts w:ascii="宋体" w:cs="宋体"/>
          <w:snapToGrid w:val="0"/>
          <w:color w:val="000000"/>
          <w:kern w:val="0"/>
          <w:szCs w:val="21"/>
          <w:u w:val="single"/>
        </w:rPr>
        <w:t xml:space="preserve">    </w:t>
      </w:r>
      <w:r>
        <w:rPr>
          <w:rFonts w:ascii="宋体" w:cs="宋体"/>
          <w:bCs/>
          <w:szCs w:val="21"/>
        </w:rPr>
        <w:t>分，乙方执</w:t>
      </w:r>
      <w:r>
        <w:rPr>
          <w:rFonts w:ascii="宋体" w:cs="宋体"/>
          <w:snapToGrid w:val="0"/>
          <w:color w:val="000000"/>
          <w:kern w:val="0"/>
          <w:szCs w:val="21"/>
          <w:u w:val="single"/>
        </w:rPr>
        <w:t xml:space="preserve">    </w:t>
      </w:r>
      <w:r>
        <w:rPr>
          <w:rFonts w:ascii="宋体" w:cs="宋体"/>
          <w:bCs/>
          <w:szCs w:val="21"/>
        </w:rPr>
        <w:t>份，均具有同等法律效力。</w:t>
      </w:r>
    </w:p>
    <w:p w14:paraId="7FA826E3">
      <w:pPr>
        <w:spacing w:line="400" w:lineRule="exact"/>
        <w:ind w:firstLine="420" w:firstLineChars="200"/>
        <w:rPr>
          <w:rFonts w:ascii="宋体" w:cs="宋体"/>
          <w:bCs/>
          <w:szCs w:val="21"/>
        </w:rPr>
      </w:pPr>
      <w:r>
        <w:rPr>
          <w:rFonts w:ascii="宋体" w:cs="宋体"/>
          <w:bCs/>
          <w:szCs w:val="21"/>
        </w:rPr>
        <w:t>合同订立时间：</w:t>
      </w:r>
      <w:r>
        <w:rPr>
          <w:rFonts w:ascii="宋体" w:cs="宋体"/>
          <w:snapToGrid w:val="0"/>
          <w:color w:val="000000"/>
          <w:kern w:val="0"/>
          <w:szCs w:val="21"/>
          <w:u w:val="single"/>
        </w:rPr>
        <w:t xml:space="preserve">  </w:t>
      </w:r>
      <w:r>
        <w:rPr>
          <w:rFonts w:hint="eastAsia" w:ascii="宋体" w:cs="宋体"/>
          <w:snapToGrid w:val="0"/>
          <w:color w:val="000000"/>
          <w:kern w:val="0"/>
          <w:szCs w:val="21"/>
          <w:u w:val="single"/>
        </w:rPr>
        <w:t xml:space="preserve">  </w:t>
      </w:r>
      <w:r>
        <w:rPr>
          <w:rFonts w:ascii="宋体" w:cs="宋体"/>
          <w:snapToGrid w:val="0"/>
          <w:color w:val="000000"/>
          <w:kern w:val="0"/>
          <w:szCs w:val="21"/>
          <w:u w:val="single"/>
        </w:rPr>
        <w:t xml:space="preserve">  </w:t>
      </w:r>
      <w:r>
        <w:rPr>
          <w:rFonts w:ascii="宋体" w:cs="宋体"/>
          <w:bCs/>
          <w:szCs w:val="21"/>
        </w:rPr>
        <w:t>年</w:t>
      </w:r>
      <w:r>
        <w:rPr>
          <w:rFonts w:ascii="宋体" w:cs="宋体"/>
          <w:snapToGrid w:val="0"/>
          <w:color w:val="000000"/>
          <w:kern w:val="0"/>
          <w:szCs w:val="21"/>
          <w:u w:val="single"/>
        </w:rPr>
        <w:t xml:space="preserve">    </w:t>
      </w:r>
      <w:r>
        <w:rPr>
          <w:rFonts w:ascii="宋体" w:cs="宋体"/>
          <w:bCs/>
          <w:szCs w:val="21"/>
        </w:rPr>
        <w:t>月</w:t>
      </w:r>
      <w:r>
        <w:rPr>
          <w:rFonts w:ascii="宋体" w:cs="宋体"/>
          <w:snapToGrid w:val="0"/>
          <w:color w:val="000000"/>
          <w:kern w:val="0"/>
          <w:szCs w:val="21"/>
          <w:u w:val="single"/>
        </w:rPr>
        <w:t xml:space="preserve">    </w:t>
      </w:r>
      <w:r>
        <w:rPr>
          <w:rFonts w:ascii="宋体" w:cs="宋体"/>
          <w:bCs/>
          <w:szCs w:val="21"/>
        </w:rPr>
        <w:t>日</w:t>
      </w:r>
    </w:p>
    <w:p w14:paraId="5E0165E4">
      <w:pPr>
        <w:spacing w:line="400" w:lineRule="exact"/>
        <w:ind w:firstLine="420" w:firstLineChars="200"/>
        <w:rPr>
          <w:rFonts w:ascii="宋体" w:cs="宋体"/>
          <w:bCs/>
          <w:szCs w:val="21"/>
        </w:rPr>
      </w:pPr>
      <w:r>
        <w:rPr>
          <w:rFonts w:ascii="宋体" w:cs="宋体"/>
          <w:bCs/>
          <w:szCs w:val="21"/>
        </w:rPr>
        <w:t>合同订立地点：</w:t>
      </w:r>
      <w:r>
        <w:rPr>
          <w:rFonts w:ascii="宋体" w:cs="宋体"/>
          <w:snapToGrid w:val="0"/>
          <w:color w:val="000000"/>
          <w:kern w:val="0"/>
          <w:szCs w:val="21"/>
          <w:u w:val="single"/>
        </w:rPr>
        <w:t xml:space="preserve">   </w:t>
      </w:r>
      <w:r>
        <w:rPr>
          <w:rFonts w:hint="eastAsia" w:ascii="宋体" w:cs="宋体"/>
          <w:snapToGrid w:val="0"/>
          <w:color w:val="000000"/>
          <w:kern w:val="0"/>
          <w:szCs w:val="21"/>
          <w:u w:val="single"/>
        </w:rPr>
        <w:t xml:space="preserve">                </w:t>
      </w:r>
      <w:r>
        <w:rPr>
          <w:rFonts w:ascii="宋体" w:cs="宋体"/>
          <w:snapToGrid w:val="0"/>
          <w:color w:val="000000"/>
          <w:kern w:val="0"/>
          <w:szCs w:val="21"/>
          <w:u w:val="single"/>
        </w:rPr>
        <w:t xml:space="preserve"> </w:t>
      </w:r>
      <w:r>
        <w:rPr>
          <w:rFonts w:ascii="宋体" w:cs="宋体"/>
          <w:bCs/>
          <w:szCs w:val="21"/>
        </w:rPr>
        <w:t xml:space="preserve">        </w:t>
      </w:r>
    </w:p>
    <w:p w14:paraId="352CC09C">
      <w:pPr>
        <w:spacing w:line="400" w:lineRule="exact"/>
        <w:ind w:firstLine="420" w:firstLineChars="200"/>
        <w:rPr>
          <w:rFonts w:ascii="宋体" w:cs="宋体"/>
          <w:bCs/>
          <w:szCs w:val="21"/>
        </w:rPr>
      </w:pPr>
      <w:r>
        <w:rPr>
          <w:rFonts w:ascii="宋体" w:cs="宋体"/>
          <w:bCs/>
          <w:szCs w:val="21"/>
        </w:rPr>
        <w:t>附件：具体标的及其技术要求和商务要求、联合协议、分包意向协议等。</w:t>
      </w:r>
    </w:p>
    <w:p w14:paraId="5D148663">
      <w:pPr>
        <w:widowControl/>
        <w:kinsoku w:val="0"/>
        <w:autoSpaceDE w:val="0"/>
        <w:autoSpaceDN w:val="0"/>
        <w:adjustRightInd w:val="0"/>
        <w:snapToGrid w:val="0"/>
        <w:spacing w:before="139" w:line="218" w:lineRule="auto"/>
        <w:ind w:left="598"/>
        <w:jc w:val="left"/>
        <w:textAlignment w:val="baseline"/>
        <w:rPr>
          <w:rFonts w:ascii="宋体" w:cs="宋体"/>
          <w:snapToGrid w:val="0"/>
          <w:color w:val="000000"/>
          <w:kern w:val="0"/>
          <w:szCs w:val="21"/>
        </w:rPr>
      </w:pPr>
    </w:p>
    <w:p w14:paraId="0BF393D1">
      <w:pPr>
        <w:widowControl/>
        <w:jc w:val="left"/>
      </w:pPr>
      <w:r>
        <w:br w:type="page"/>
      </w:r>
    </w:p>
    <w:tbl>
      <w:tblPr>
        <w:tblStyle w:val="42"/>
        <w:tblW w:w="83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3"/>
        <w:gridCol w:w="2417"/>
        <w:gridCol w:w="1978"/>
        <w:gridCol w:w="2102"/>
      </w:tblGrid>
      <w:tr w14:paraId="282960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4300" w:type="dxa"/>
            <w:gridSpan w:val="2"/>
          </w:tcPr>
          <w:p w14:paraId="0482792C">
            <w:pPr>
              <w:widowControl/>
              <w:kinsoku w:val="0"/>
              <w:autoSpaceDE w:val="0"/>
              <w:autoSpaceDN w:val="0"/>
              <w:adjustRightInd w:val="0"/>
              <w:snapToGrid w:val="0"/>
              <w:spacing w:before="62" w:line="218" w:lineRule="auto"/>
              <w:ind w:left="195"/>
              <w:jc w:val="left"/>
              <w:textAlignment w:val="baseline"/>
              <w:rPr>
                <w:rFonts w:ascii="宋体" w:cs="宋体"/>
                <w:snapToGrid w:val="0"/>
                <w:color w:val="000000"/>
                <w:kern w:val="0"/>
                <w:szCs w:val="21"/>
              </w:rPr>
            </w:pPr>
            <w:r>
              <w:rPr>
                <w:rFonts w:ascii="宋体" w:cs="宋体"/>
                <w:snapToGrid w:val="0"/>
                <w:color w:val="000000"/>
                <w:kern w:val="0"/>
                <w:szCs w:val="21"/>
              </w:rPr>
              <w:t>甲方(采购人、受采购人委托签订合同的单</w:t>
            </w:r>
          </w:p>
          <w:p w14:paraId="557947D8">
            <w:pPr>
              <w:widowControl/>
              <w:kinsoku w:val="0"/>
              <w:autoSpaceDE w:val="0"/>
              <w:autoSpaceDN w:val="0"/>
              <w:adjustRightInd w:val="0"/>
              <w:snapToGrid w:val="0"/>
              <w:spacing w:before="51" w:line="194" w:lineRule="auto"/>
              <w:ind w:left="725"/>
              <w:jc w:val="left"/>
              <w:textAlignment w:val="baseline"/>
              <w:rPr>
                <w:rFonts w:ascii="宋体" w:cs="宋体"/>
                <w:snapToGrid w:val="0"/>
                <w:color w:val="000000"/>
                <w:kern w:val="0"/>
                <w:szCs w:val="21"/>
              </w:rPr>
            </w:pPr>
            <w:r>
              <w:rPr>
                <w:rFonts w:ascii="宋体" w:cs="宋体"/>
                <w:snapToGrid w:val="0"/>
                <w:color w:val="000000"/>
                <w:spacing w:val="2"/>
                <w:kern w:val="0"/>
                <w:szCs w:val="21"/>
              </w:rPr>
              <w:t>位或采购文件约定的合同甲方)</w:t>
            </w:r>
          </w:p>
        </w:tc>
        <w:tc>
          <w:tcPr>
            <w:tcW w:w="4080" w:type="dxa"/>
            <w:gridSpan w:val="2"/>
          </w:tcPr>
          <w:p w14:paraId="1A18DC72">
            <w:pPr>
              <w:widowControl/>
              <w:kinsoku w:val="0"/>
              <w:autoSpaceDE w:val="0"/>
              <w:autoSpaceDN w:val="0"/>
              <w:adjustRightInd w:val="0"/>
              <w:snapToGrid w:val="0"/>
              <w:spacing w:before="192" w:line="218" w:lineRule="auto"/>
              <w:ind w:left="1335"/>
              <w:jc w:val="left"/>
              <w:textAlignment w:val="baseline"/>
              <w:rPr>
                <w:rFonts w:ascii="宋体" w:cs="宋体"/>
                <w:snapToGrid w:val="0"/>
                <w:color w:val="000000"/>
                <w:kern w:val="0"/>
                <w:szCs w:val="21"/>
                <w:lang w:eastAsia="en-US"/>
              </w:rPr>
            </w:pPr>
            <w:r>
              <w:rPr>
                <w:rFonts w:ascii="宋体" w:cs="宋体"/>
                <w:snapToGrid w:val="0"/>
                <w:color w:val="000000"/>
                <w:spacing w:val="6"/>
                <w:kern w:val="0"/>
                <w:szCs w:val="21"/>
                <w:lang w:eastAsia="en-US"/>
              </w:rPr>
              <w:t>乙方(供应商)</w:t>
            </w:r>
          </w:p>
        </w:tc>
      </w:tr>
      <w:tr w14:paraId="2BB4CB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jc w:val="center"/>
        </w:trPr>
        <w:tc>
          <w:tcPr>
            <w:tcW w:w="1883" w:type="dxa"/>
          </w:tcPr>
          <w:p w14:paraId="1096AF2E">
            <w:pPr>
              <w:widowControl/>
              <w:kinsoku w:val="0"/>
              <w:autoSpaceDE w:val="0"/>
              <w:autoSpaceDN w:val="0"/>
              <w:adjustRightInd w:val="0"/>
              <w:snapToGrid w:val="0"/>
              <w:spacing w:before="227" w:line="218" w:lineRule="auto"/>
              <w:ind w:left="144"/>
              <w:jc w:val="left"/>
              <w:textAlignment w:val="baseline"/>
              <w:rPr>
                <w:rFonts w:ascii="宋体" w:cs="宋体"/>
                <w:snapToGrid w:val="0"/>
                <w:color w:val="000000"/>
                <w:kern w:val="0"/>
                <w:szCs w:val="21"/>
              </w:rPr>
            </w:pPr>
            <w:r>
              <w:rPr>
                <w:rFonts w:ascii="宋体" w:cs="宋体"/>
                <w:snapToGrid w:val="0"/>
                <w:color w:val="000000"/>
                <w:spacing w:val="-2"/>
                <w:kern w:val="0"/>
                <w:szCs w:val="21"/>
              </w:rPr>
              <w:t>单位名称(公章或</w:t>
            </w:r>
          </w:p>
          <w:p w14:paraId="69740EC1">
            <w:pPr>
              <w:widowControl/>
              <w:kinsoku w:val="0"/>
              <w:autoSpaceDE w:val="0"/>
              <w:autoSpaceDN w:val="0"/>
              <w:adjustRightInd w:val="0"/>
              <w:snapToGrid w:val="0"/>
              <w:spacing w:before="30" w:line="218" w:lineRule="auto"/>
              <w:ind w:left="565"/>
              <w:jc w:val="left"/>
              <w:textAlignment w:val="baseline"/>
              <w:rPr>
                <w:rFonts w:ascii="宋体" w:cs="宋体"/>
                <w:snapToGrid w:val="0"/>
                <w:color w:val="000000"/>
                <w:kern w:val="0"/>
                <w:szCs w:val="21"/>
              </w:rPr>
            </w:pPr>
            <w:r>
              <w:rPr>
                <w:rFonts w:ascii="宋体" w:cs="宋体"/>
                <w:snapToGrid w:val="0"/>
                <w:color w:val="000000"/>
                <w:spacing w:val="10"/>
                <w:kern w:val="0"/>
                <w:szCs w:val="21"/>
              </w:rPr>
              <w:t>合同章)</w:t>
            </w:r>
          </w:p>
        </w:tc>
        <w:tc>
          <w:tcPr>
            <w:tcW w:w="2417" w:type="dxa"/>
          </w:tcPr>
          <w:p w14:paraId="4333D912">
            <w:pPr>
              <w:widowControl/>
              <w:kinsoku w:val="0"/>
              <w:autoSpaceDE w:val="0"/>
              <w:autoSpaceDN w:val="0"/>
              <w:adjustRightInd w:val="0"/>
              <w:snapToGrid w:val="0"/>
              <w:jc w:val="left"/>
              <w:textAlignment w:val="baseline"/>
              <w:rPr>
                <w:rFonts w:ascii="宋体" w:cs="Arial"/>
                <w:snapToGrid w:val="0"/>
                <w:color w:val="000000"/>
                <w:kern w:val="0"/>
                <w:szCs w:val="21"/>
              </w:rPr>
            </w:pPr>
          </w:p>
        </w:tc>
        <w:tc>
          <w:tcPr>
            <w:tcW w:w="1978" w:type="dxa"/>
          </w:tcPr>
          <w:p w14:paraId="6D52189C">
            <w:pPr>
              <w:widowControl/>
              <w:kinsoku w:val="0"/>
              <w:autoSpaceDE w:val="0"/>
              <w:autoSpaceDN w:val="0"/>
              <w:adjustRightInd w:val="0"/>
              <w:snapToGrid w:val="0"/>
              <w:spacing w:before="227" w:line="218" w:lineRule="auto"/>
              <w:ind w:left="195"/>
              <w:jc w:val="left"/>
              <w:textAlignment w:val="baseline"/>
              <w:rPr>
                <w:rFonts w:ascii="宋体" w:cs="宋体"/>
                <w:snapToGrid w:val="0"/>
                <w:color w:val="000000"/>
                <w:kern w:val="0"/>
                <w:szCs w:val="21"/>
              </w:rPr>
            </w:pPr>
            <w:r>
              <w:rPr>
                <w:rFonts w:ascii="宋体" w:cs="宋体"/>
                <w:snapToGrid w:val="0"/>
                <w:color w:val="000000"/>
                <w:spacing w:val="-2"/>
                <w:kern w:val="0"/>
                <w:szCs w:val="21"/>
              </w:rPr>
              <w:t>单位名称(公章或</w:t>
            </w:r>
          </w:p>
          <w:p w14:paraId="1BA90544">
            <w:pPr>
              <w:widowControl/>
              <w:kinsoku w:val="0"/>
              <w:autoSpaceDE w:val="0"/>
              <w:autoSpaceDN w:val="0"/>
              <w:adjustRightInd w:val="0"/>
              <w:snapToGrid w:val="0"/>
              <w:spacing w:before="30" w:line="218" w:lineRule="auto"/>
              <w:ind w:left="615"/>
              <w:jc w:val="left"/>
              <w:textAlignment w:val="baseline"/>
              <w:rPr>
                <w:rFonts w:ascii="宋体" w:cs="宋体"/>
                <w:snapToGrid w:val="0"/>
                <w:color w:val="000000"/>
                <w:kern w:val="0"/>
                <w:szCs w:val="21"/>
              </w:rPr>
            </w:pPr>
            <w:r>
              <w:rPr>
                <w:rFonts w:ascii="宋体" w:cs="宋体"/>
                <w:snapToGrid w:val="0"/>
                <w:color w:val="000000"/>
                <w:spacing w:val="10"/>
                <w:kern w:val="0"/>
                <w:szCs w:val="21"/>
              </w:rPr>
              <w:t>合同章)</w:t>
            </w:r>
          </w:p>
        </w:tc>
        <w:tc>
          <w:tcPr>
            <w:tcW w:w="2102" w:type="dxa"/>
          </w:tcPr>
          <w:p w14:paraId="533B4945">
            <w:pPr>
              <w:widowControl/>
              <w:kinsoku w:val="0"/>
              <w:autoSpaceDE w:val="0"/>
              <w:autoSpaceDN w:val="0"/>
              <w:adjustRightInd w:val="0"/>
              <w:snapToGrid w:val="0"/>
              <w:jc w:val="left"/>
              <w:textAlignment w:val="baseline"/>
              <w:rPr>
                <w:rFonts w:ascii="宋体" w:cs="Arial"/>
                <w:snapToGrid w:val="0"/>
                <w:color w:val="000000"/>
                <w:kern w:val="0"/>
                <w:szCs w:val="21"/>
              </w:rPr>
            </w:pPr>
          </w:p>
        </w:tc>
      </w:tr>
      <w:tr w14:paraId="629530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9" w:hRule="atLeast"/>
          <w:jc w:val="center"/>
        </w:trPr>
        <w:tc>
          <w:tcPr>
            <w:tcW w:w="1883" w:type="dxa"/>
            <w:vMerge w:val="restart"/>
            <w:tcBorders>
              <w:bottom w:val="nil"/>
            </w:tcBorders>
          </w:tcPr>
          <w:p w14:paraId="4A066C2D">
            <w:pPr>
              <w:widowControl/>
              <w:kinsoku w:val="0"/>
              <w:autoSpaceDE w:val="0"/>
              <w:autoSpaceDN w:val="0"/>
              <w:adjustRightInd w:val="0"/>
              <w:snapToGrid w:val="0"/>
              <w:spacing w:line="379" w:lineRule="auto"/>
              <w:jc w:val="left"/>
              <w:textAlignment w:val="baseline"/>
              <w:rPr>
                <w:rFonts w:ascii="宋体" w:cs="Arial"/>
                <w:snapToGrid w:val="0"/>
                <w:color w:val="000000"/>
                <w:kern w:val="0"/>
                <w:szCs w:val="21"/>
              </w:rPr>
            </w:pPr>
          </w:p>
          <w:p w14:paraId="29EC9181">
            <w:pPr>
              <w:widowControl/>
              <w:kinsoku w:val="0"/>
              <w:autoSpaceDE w:val="0"/>
              <w:autoSpaceDN w:val="0"/>
              <w:adjustRightInd w:val="0"/>
              <w:snapToGrid w:val="0"/>
              <w:spacing w:before="68" w:line="218" w:lineRule="auto"/>
              <w:ind w:left="405"/>
              <w:jc w:val="left"/>
              <w:textAlignment w:val="baseline"/>
              <w:rPr>
                <w:rFonts w:ascii="宋体" w:cs="宋体"/>
                <w:snapToGrid w:val="0"/>
                <w:color w:val="000000"/>
                <w:kern w:val="0"/>
                <w:szCs w:val="21"/>
              </w:rPr>
            </w:pPr>
            <w:r>
              <w:rPr>
                <w:rFonts w:ascii="宋体" w:cs="宋体"/>
                <w:snapToGrid w:val="0"/>
                <w:color w:val="000000"/>
                <w:spacing w:val="-2"/>
                <w:kern w:val="0"/>
                <w:szCs w:val="21"/>
              </w:rPr>
              <w:t>法定代表人</w:t>
            </w:r>
          </w:p>
          <w:p w14:paraId="0FC50166">
            <w:pPr>
              <w:widowControl/>
              <w:kinsoku w:val="0"/>
              <w:autoSpaceDE w:val="0"/>
              <w:autoSpaceDN w:val="0"/>
              <w:adjustRightInd w:val="0"/>
              <w:snapToGrid w:val="0"/>
              <w:spacing w:before="50" w:line="218" w:lineRule="auto"/>
              <w:ind w:left="195"/>
              <w:jc w:val="left"/>
              <w:textAlignment w:val="baseline"/>
              <w:rPr>
                <w:rFonts w:ascii="宋体" w:cs="宋体"/>
                <w:snapToGrid w:val="0"/>
                <w:color w:val="000000"/>
                <w:kern w:val="0"/>
                <w:szCs w:val="21"/>
              </w:rPr>
            </w:pPr>
            <w:r>
              <w:rPr>
                <w:rFonts w:ascii="宋体" w:cs="宋体"/>
                <w:snapToGrid w:val="0"/>
                <w:color w:val="000000"/>
                <w:spacing w:val="-2"/>
                <w:kern w:val="0"/>
                <w:szCs w:val="21"/>
              </w:rPr>
              <w:t>或其委托代理人</w:t>
            </w:r>
          </w:p>
          <w:p w14:paraId="6444DE47">
            <w:pPr>
              <w:widowControl/>
              <w:kinsoku w:val="0"/>
              <w:autoSpaceDE w:val="0"/>
              <w:autoSpaceDN w:val="0"/>
              <w:adjustRightInd w:val="0"/>
              <w:snapToGrid w:val="0"/>
              <w:spacing w:before="39" w:line="218" w:lineRule="auto"/>
              <w:ind w:left="614"/>
              <w:jc w:val="left"/>
              <w:textAlignment w:val="baseline"/>
              <w:rPr>
                <w:rFonts w:ascii="宋体" w:cs="宋体"/>
                <w:snapToGrid w:val="0"/>
                <w:color w:val="000000"/>
                <w:kern w:val="0"/>
                <w:szCs w:val="21"/>
              </w:rPr>
            </w:pPr>
            <w:r>
              <w:rPr>
                <w:rFonts w:ascii="宋体" w:cs="宋体"/>
                <w:snapToGrid w:val="0"/>
                <w:color w:val="000000"/>
                <w:spacing w:val="11"/>
                <w:kern w:val="0"/>
                <w:szCs w:val="21"/>
              </w:rPr>
              <w:t>(签章)</w:t>
            </w:r>
          </w:p>
        </w:tc>
        <w:tc>
          <w:tcPr>
            <w:tcW w:w="2417" w:type="dxa"/>
            <w:vMerge w:val="restart"/>
            <w:tcBorders>
              <w:bottom w:val="nil"/>
            </w:tcBorders>
          </w:tcPr>
          <w:p w14:paraId="313F2F28">
            <w:pPr>
              <w:widowControl/>
              <w:kinsoku w:val="0"/>
              <w:autoSpaceDE w:val="0"/>
              <w:autoSpaceDN w:val="0"/>
              <w:adjustRightInd w:val="0"/>
              <w:snapToGrid w:val="0"/>
              <w:jc w:val="left"/>
              <w:textAlignment w:val="baseline"/>
              <w:rPr>
                <w:rFonts w:ascii="宋体" w:cs="Arial"/>
                <w:snapToGrid w:val="0"/>
                <w:color w:val="000000"/>
                <w:kern w:val="0"/>
                <w:szCs w:val="21"/>
              </w:rPr>
            </w:pPr>
          </w:p>
        </w:tc>
        <w:tc>
          <w:tcPr>
            <w:tcW w:w="1978" w:type="dxa"/>
          </w:tcPr>
          <w:p w14:paraId="63584D88">
            <w:pPr>
              <w:widowControl/>
              <w:kinsoku w:val="0"/>
              <w:autoSpaceDE w:val="0"/>
              <w:autoSpaceDN w:val="0"/>
              <w:adjustRightInd w:val="0"/>
              <w:snapToGrid w:val="0"/>
              <w:spacing w:before="199" w:line="218" w:lineRule="auto"/>
              <w:ind w:left="455"/>
              <w:jc w:val="left"/>
              <w:textAlignment w:val="baseline"/>
              <w:rPr>
                <w:rFonts w:ascii="宋体" w:cs="宋体"/>
                <w:snapToGrid w:val="0"/>
                <w:color w:val="000000"/>
                <w:kern w:val="0"/>
                <w:szCs w:val="21"/>
              </w:rPr>
            </w:pPr>
            <w:r>
              <w:rPr>
                <w:rFonts w:ascii="宋体" w:cs="宋体"/>
                <w:snapToGrid w:val="0"/>
                <w:color w:val="000000"/>
                <w:spacing w:val="-2"/>
                <w:kern w:val="0"/>
                <w:szCs w:val="21"/>
              </w:rPr>
              <w:t>法定代表人</w:t>
            </w:r>
          </w:p>
          <w:p w14:paraId="16AABF4F">
            <w:pPr>
              <w:widowControl/>
              <w:kinsoku w:val="0"/>
              <w:autoSpaceDE w:val="0"/>
              <w:autoSpaceDN w:val="0"/>
              <w:adjustRightInd w:val="0"/>
              <w:snapToGrid w:val="0"/>
              <w:spacing w:before="40" w:line="218" w:lineRule="auto"/>
              <w:ind w:left="244"/>
              <w:jc w:val="left"/>
              <w:textAlignment w:val="baseline"/>
              <w:rPr>
                <w:rFonts w:ascii="宋体" w:cs="宋体"/>
                <w:snapToGrid w:val="0"/>
                <w:color w:val="000000"/>
                <w:kern w:val="0"/>
                <w:szCs w:val="21"/>
              </w:rPr>
            </w:pPr>
            <w:r>
              <w:rPr>
                <w:rFonts w:ascii="宋体" w:cs="宋体"/>
                <w:snapToGrid w:val="0"/>
                <w:color w:val="000000"/>
                <w:spacing w:val="-2"/>
                <w:kern w:val="0"/>
                <w:szCs w:val="21"/>
              </w:rPr>
              <w:t>或其委托代理人</w:t>
            </w:r>
          </w:p>
          <w:p w14:paraId="61F7FC64">
            <w:pPr>
              <w:widowControl/>
              <w:kinsoku w:val="0"/>
              <w:autoSpaceDE w:val="0"/>
              <w:autoSpaceDN w:val="0"/>
              <w:adjustRightInd w:val="0"/>
              <w:snapToGrid w:val="0"/>
              <w:spacing w:before="59" w:line="218" w:lineRule="auto"/>
              <w:ind w:left="665"/>
              <w:jc w:val="left"/>
              <w:textAlignment w:val="baseline"/>
              <w:rPr>
                <w:rFonts w:ascii="宋体" w:cs="宋体"/>
                <w:snapToGrid w:val="0"/>
                <w:color w:val="000000"/>
                <w:kern w:val="0"/>
                <w:szCs w:val="21"/>
              </w:rPr>
            </w:pPr>
            <w:r>
              <w:rPr>
                <w:rFonts w:ascii="宋体" w:cs="宋体"/>
                <w:snapToGrid w:val="0"/>
                <w:color w:val="000000"/>
                <w:spacing w:val="11"/>
                <w:kern w:val="0"/>
                <w:szCs w:val="21"/>
              </w:rPr>
              <w:t>(签章)</w:t>
            </w:r>
          </w:p>
        </w:tc>
        <w:tc>
          <w:tcPr>
            <w:tcW w:w="2102" w:type="dxa"/>
          </w:tcPr>
          <w:p w14:paraId="694ACE67">
            <w:pPr>
              <w:widowControl/>
              <w:kinsoku w:val="0"/>
              <w:autoSpaceDE w:val="0"/>
              <w:autoSpaceDN w:val="0"/>
              <w:adjustRightInd w:val="0"/>
              <w:snapToGrid w:val="0"/>
              <w:jc w:val="left"/>
              <w:textAlignment w:val="baseline"/>
              <w:rPr>
                <w:rFonts w:ascii="宋体" w:cs="Arial"/>
                <w:snapToGrid w:val="0"/>
                <w:color w:val="000000"/>
                <w:kern w:val="0"/>
                <w:szCs w:val="21"/>
              </w:rPr>
            </w:pPr>
          </w:p>
        </w:tc>
      </w:tr>
      <w:tr w14:paraId="5620A3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vMerge w:val="continue"/>
            <w:tcBorders>
              <w:top w:val="nil"/>
            </w:tcBorders>
          </w:tcPr>
          <w:p w14:paraId="3D408635"/>
        </w:tc>
        <w:tc>
          <w:tcPr>
            <w:tcW w:w="2417" w:type="dxa"/>
            <w:vMerge w:val="continue"/>
            <w:tcBorders>
              <w:top w:val="nil"/>
            </w:tcBorders>
          </w:tcPr>
          <w:p w14:paraId="2909FC7D"/>
        </w:tc>
        <w:tc>
          <w:tcPr>
            <w:tcW w:w="1978" w:type="dxa"/>
          </w:tcPr>
          <w:p w14:paraId="0E9DC920">
            <w:pPr>
              <w:widowControl/>
              <w:kinsoku w:val="0"/>
              <w:autoSpaceDE w:val="0"/>
              <w:autoSpaceDN w:val="0"/>
              <w:adjustRightInd w:val="0"/>
              <w:snapToGrid w:val="0"/>
              <w:spacing w:before="140" w:line="218" w:lineRule="auto"/>
              <w:ind w:left="455"/>
              <w:jc w:val="left"/>
              <w:textAlignment w:val="baseline"/>
              <w:rPr>
                <w:rFonts w:ascii="宋体" w:cs="宋体"/>
                <w:snapToGrid w:val="0"/>
                <w:color w:val="000000"/>
                <w:kern w:val="0"/>
                <w:szCs w:val="21"/>
                <w:lang w:eastAsia="en-US"/>
              </w:rPr>
            </w:pPr>
            <w:r>
              <w:rPr>
                <w:rFonts w:ascii="宋体" w:cs="宋体"/>
                <w:snapToGrid w:val="0"/>
                <w:color w:val="000000"/>
                <w:spacing w:val="3"/>
                <w:kern w:val="0"/>
                <w:szCs w:val="21"/>
                <w:lang w:eastAsia="en-US"/>
              </w:rPr>
              <w:t>拥有者性别</w:t>
            </w:r>
          </w:p>
        </w:tc>
        <w:tc>
          <w:tcPr>
            <w:tcW w:w="2102" w:type="dxa"/>
          </w:tcPr>
          <w:p w14:paraId="1E5A2F37">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3D4B8F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42E8584D">
            <w:pPr>
              <w:widowControl/>
              <w:kinsoku w:val="0"/>
              <w:autoSpaceDE w:val="0"/>
              <w:autoSpaceDN w:val="0"/>
              <w:adjustRightInd w:val="0"/>
              <w:snapToGrid w:val="0"/>
              <w:spacing w:before="142" w:line="221" w:lineRule="auto"/>
              <w:ind w:left="614"/>
              <w:jc w:val="left"/>
              <w:textAlignment w:val="baseline"/>
              <w:rPr>
                <w:rFonts w:ascii="宋体" w:cs="宋体"/>
                <w:snapToGrid w:val="0"/>
                <w:color w:val="000000"/>
                <w:kern w:val="0"/>
                <w:szCs w:val="21"/>
                <w:lang w:eastAsia="en-US"/>
              </w:rPr>
            </w:pPr>
            <w:r>
              <w:rPr>
                <w:rFonts w:ascii="宋体" w:cs="宋体"/>
                <w:snapToGrid w:val="0"/>
                <w:color w:val="000000"/>
                <w:spacing w:val="-4"/>
                <w:kern w:val="0"/>
                <w:szCs w:val="21"/>
                <w:lang w:eastAsia="en-US"/>
              </w:rPr>
              <w:t>住</w:t>
            </w:r>
            <w:r>
              <w:rPr>
                <w:rFonts w:ascii="宋体" w:cs="宋体"/>
                <w:snapToGrid w:val="0"/>
                <w:color w:val="000000"/>
                <w:spacing w:val="4"/>
                <w:kern w:val="0"/>
                <w:szCs w:val="21"/>
                <w:lang w:eastAsia="en-US"/>
              </w:rPr>
              <w:t xml:space="preserve">  </w:t>
            </w:r>
            <w:r>
              <w:rPr>
                <w:rFonts w:ascii="宋体" w:cs="宋体"/>
                <w:snapToGrid w:val="0"/>
                <w:color w:val="000000"/>
                <w:spacing w:val="-4"/>
                <w:kern w:val="0"/>
                <w:szCs w:val="21"/>
                <w:lang w:eastAsia="en-US"/>
              </w:rPr>
              <w:t>所</w:t>
            </w:r>
          </w:p>
        </w:tc>
        <w:tc>
          <w:tcPr>
            <w:tcW w:w="2417" w:type="dxa"/>
          </w:tcPr>
          <w:p w14:paraId="0FEC1E36">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c>
          <w:tcPr>
            <w:tcW w:w="1978" w:type="dxa"/>
          </w:tcPr>
          <w:p w14:paraId="714D2AF1">
            <w:pPr>
              <w:widowControl/>
              <w:kinsoku w:val="0"/>
              <w:autoSpaceDE w:val="0"/>
              <w:autoSpaceDN w:val="0"/>
              <w:adjustRightInd w:val="0"/>
              <w:snapToGrid w:val="0"/>
              <w:spacing w:before="142" w:line="221" w:lineRule="auto"/>
              <w:ind w:left="665"/>
              <w:jc w:val="left"/>
              <w:textAlignment w:val="baseline"/>
              <w:rPr>
                <w:rFonts w:ascii="宋体" w:cs="宋体"/>
                <w:snapToGrid w:val="0"/>
                <w:color w:val="000000"/>
                <w:kern w:val="0"/>
                <w:szCs w:val="21"/>
                <w:lang w:eastAsia="en-US"/>
              </w:rPr>
            </w:pPr>
            <w:r>
              <w:rPr>
                <w:rFonts w:ascii="宋体" w:cs="宋体"/>
                <w:snapToGrid w:val="0"/>
                <w:color w:val="000000"/>
                <w:spacing w:val="-4"/>
                <w:kern w:val="0"/>
                <w:szCs w:val="21"/>
                <w:lang w:eastAsia="en-US"/>
              </w:rPr>
              <w:t>住</w:t>
            </w:r>
            <w:r>
              <w:rPr>
                <w:rFonts w:ascii="宋体" w:cs="宋体"/>
                <w:snapToGrid w:val="0"/>
                <w:color w:val="000000"/>
                <w:spacing w:val="4"/>
                <w:kern w:val="0"/>
                <w:szCs w:val="21"/>
                <w:lang w:eastAsia="en-US"/>
              </w:rPr>
              <w:t xml:space="preserve">  </w:t>
            </w:r>
            <w:r>
              <w:rPr>
                <w:rFonts w:ascii="宋体" w:cs="宋体"/>
                <w:snapToGrid w:val="0"/>
                <w:color w:val="000000"/>
                <w:spacing w:val="-4"/>
                <w:kern w:val="0"/>
                <w:szCs w:val="21"/>
                <w:lang w:eastAsia="en-US"/>
              </w:rPr>
              <w:t>所</w:t>
            </w:r>
          </w:p>
        </w:tc>
        <w:tc>
          <w:tcPr>
            <w:tcW w:w="2102" w:type="dxa"/>
          </w:tcPr>
          <w:p w14:paraId="5281415B">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0E28E9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4731E1CA">
            <w:pPr>
              <w:widowControl/>
              <w:kinsoku w:val="0"/>
              <w:autoSpaceDE w:val="0"/>
              <w:autoSpaceDN w:val="0"/>
              <w:adjustRightInd w:val="0"/>
              <w:snapToGrid w:val="0"/>
              <w:spacing w:before="144" w:line="221" w:lineRule="auto"/>
              <w:ind w:left="515"/>
              <w:jc w:val="left"/>
              <w:textAlignment w:val="baseline"/>
              <w:rPr>
                <w:rFonts w:ascii="宋体" w:cs="宋体"/>
                <w:snapToGrid w:val="0"/>
                <w:color w:val="000000"/>
                <w:kern w:val="0"/>
                <w:szCs w:val="21"/>
                <w:lang w:eastAsia="en-US"/>
              </w:rPr>
            </w:pPr>
            <w:r>
              <w:rPr>
                <w:rFonts w:ascii="宋体" w:cs="宋体"/>
                <w:snapToGrid w:val="0"/>
                <w:color w:val="000000"/>
                <w:spacing w:val="-8"/>
                <w:kern w:val="0"/>
                <w:szCs w:val="21"/>
                <w:lang w:eastAsia="en-US"/>
              </w:rPr>
              <w:t>联</w:t>
            </w:r>
            <w:r>
              <w:rPr>
                <w:rFonts w:ascii="宋体" w:cs="宋体"/>
                <w:snapToGrid w:val="0"/>
                <w:color w:val="000000"/>
                <w:spacing w:val="22"/>
                <w:kern w:val="0"/>
                <w:szCs w:val="21"/>
                <w:lang w:eastAsia="en-US"/>
              </w:rPr>
              <w:t xml:space="preserve"> </w:t>
            </w:r>
            <w:r>
              <w:rPr>
                <w:rFonts w:ascii="宋体" w:cs="宋体"/>
                <w:snapToGrid w:val="0"/>
                <w:color w:val="000000"/>
                <w:spacing w:val="-8"/>
                <w:kern w:val="0"/>
                <w:szCs w:val="21"/>
                <w:lang w:eastAsia="en-US"/>
              </w:rPr>
              <w:t>系</w:t>
            </w:r>
            <w:r>
              <w:rPr>
                <w:rFonts w:ascii="宋体" w:cs="宋体"/>
                <w:snapToGrid w:val="0"/>
                <w:color w:val="000000"/>
                <w:spacing w:val="19"/>
                <w:kern w:val="0"/>
                <w:szCs w:val="21"/>
                <w:lang w:eastAsia="en-US"/>
              </w:rPr>
              <w:t xml:space="preserve"> </w:t>
            </w:r>
            <w:r>
              <w:rPr>
                <w:rFonts w:ascii="宋体" w:cs="宋体"/>
                <w:snapToGrid w:val="0"/>
                <w:color w:val="000000"/>
                <w:spacing w:val="-8"/>
                <w:kern w:val="0"/>
                <w:szCs w:val="21"/>
                <w:lang w:eastAsia="en-US"/>
              </w:rPr>
              <w:t>人</w:t>
            </w:r>
          </w:p>
        </w:tc>
        <w:tc>
          <w:tcPr>
            <w:tcW w:w="2417" w:type="dxa"/>
          </w:tcPr>
          <w:p w14:paraId="275A1B5F">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c>
          <w:tcPr>
            <w:tcW w:w="1978" w:type="dxa"/>
          </w:tcPr>
          <w:p w14:paraId="61841D88">
            <w:pPr>
              <w:widowControl/>
              <w:kinsoku w:val="0"/>
              <w:autoSpaceDE w:val="0"/>
              <w:autoSpaceDN w:val="0"/>
              <w:adjustRightInd w:val="0"/>
              <w:snapToGrid w:val="0"/>
              <w:spacing w:before="144" w:line="221" w:lineRule="auto"/>
              <w:ind w:left="564"/>
              <w:jc w:val="left"/>
              <w:textAlignment w:val="baseline"/>
              <w:rPr>
                <w:rFonts w:ascii="宋体" w:cs="宋体"/>
                <w:snapToGrid w:val="0"/>
                <w:color w:val="000000"/>
                <w:kern w:val="0"/>
                <w:szCs w:val="21"/>
                <w:lang w:eastAsia="en-US"/>
              </w:rPr>
            </w:pPr>
            <w:r>
              <w:rPr>
                <w:rFonts w:ascii="宋体" w:cs="宋体"/>
                <w:snapToGrid w:val="0"/>
                <w:color w:val="000000"/>
                <w:spacing w:val="-8"/>
                <w:kern w:val="0"/>
                <w:szCs w:val="21"/>
                <w:lang w:eastAsia="en-US"/>
              </w:rPr>
              <w:t>联</w:t>
            </w:r>
            <w:r>
              <w:rPr>
                <w:rFonts w:ascii="宋体" w:cs="宋体"/>
                <w:snapToGrid w:val="0"/>
                <w:color w:val="000000"/>
                <w:spacing w:val="23"/>
                <w:kern w:val="0"/>
                <w:szCs w:val="21"/>
                <w:lang w:eastAsia="en-US"/>
              </w:rPr>
              <w:t xml:space="preserve"> </w:t>
            </w:r>
            <w:r>
              <w:rPr>
                <w:rFonts w:ascii="宋体" w:cs="宋体"/>
                <w:snapToGrid w:val="0"/>
                <w:color w:val="000000"/>
                <w:spacing w:val="-8"/>
                <w:kern w:val="0"/>
                <w:szCs w:val="21"/>
                <w:lang w:eastAsia="en-US"/>
              </w:rPr>
              <w:t>系</w:t>
            </w:r>
            <w:r>
              <w:rPr>
                <w:rFonts w:ascii="宋体" w:cs="宋体"/>
                <w:snapToGrid w:val="0"/>
                <w:color w:val="000000"/>
                <w:spacing w:val="18"/>
                <w:kern w:val="0"/>
                <w:szCs w:val="21"/>
                <w:lang w:eastAsia="en-US"/>
              </w:rPr>
              <w:t xml:space="preserve"> </w:t>
            </w:r>
            <w:r>
              <w:rPr>
                <w:rFonts w:ascii="宋体" w:cs="宋体"/>
                <w:snapToGrid w:val="0"/>
                <w:color w:val="000000"/>
                <w:spacing w:val="-8"/>
                <w:kern w:val="0"/>
                <w:szCs w:val="21"/>
                <w:lang w:eastAsia="en-US"/>
              </w:rPr>
              <w:t>人</w:t>
            </w:r>
          </w:p>
        </w:tc>
        <w:tc>
          <w:tcPr>
            <w:tcW w:w="2102" w:type="dxa"/>
          </w:tcPr>
          <w:p w14:paraId="6FD4B557">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190726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1883" w:type="dxa"/>
          </w:tcPr>
          <w:p w14:paraId="688A21D3">
            <w:pPr>
              <w:widowControl/>
              <w:kinsoku w:val="0"/>
              <w:autoSpaceDE w:val="0"/>
              <w:autoSpaceDN w:val="0"/>
              <w:adjustRightInd w:val="0"/>
              <w:snapToGrid w:val="0"/>
              <w:spacing w:before="135" w:line="221" w:lineRule="auto"/>
              <w:ind w:left="51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联系电话</w:t>
            </w:r>
          </w:p>
        </w:tc>
        <w:tc>
          <w:tcPr>
            <w:tcW w:w="2417" w:type="dxa"/>
          </w:tcPr>
          <w:p w14:paraId="212569A0">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c>
          <w:tcPr>
            <w:tcW w:w="1978" w:type="dxa"/>
          </w:tcPr>
          <w:p w14:paraId="5167D027">
            <w:pPr>
              <w:widowControl/>
              <w:kinsoku w:val="0"/>
              <w:autoSpaceDE w:val="0"/>
              <w:autoSpaceDN w:val="0"/>
              <w:adjustRightInd w:val="0"/>
              <w:snapToGrid w:val="0"/>
              <w:spacing w:before="135" w:line="221" w:lineRule="auto"/>
              <w:ind w:left="564"/>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联系电话</w:t>
            </w:r>
          </w:p>
        </w:tc>
        <w:tc>
          <w:tcPr>
            <w:tcW w:w="2102" w:type="dxa"/>
          </w:tcPr>
          <w:p w14:paraId="3B563269">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476830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0BBBEAAA">
            <w:pPr>
              <w:widowControl/>
              <w:kinsoku w:val="0"/>
              <w:autoSpaceDE w:val="0"/>
              <w:autoSpaceDN w:val="0"/>
              <w:adjustRightInd w:val="0"/>
              <w:snapToGrid w:val="0"/>
              <w:spacing w:before="142" w:line="218" w:lineRule="auto"/>
              <w:ind w:left="51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通信地址</w:t>
            </w:r>
          </w:p>
        </w:tc>
        <w:tc>
          <w:tcPr>
            <w:tcW w:w="2417" w:type="dxa"/>
          </w:tcPr>
          <w:p w14:paraId="3AAA428D">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c>
          <w:tcPr>
            <w:tcW w:w="1978" w:type="dxa"/>
          </w:tcPr>
          <w:p w14:paraId="2D138F09">
            <w:pPr>
              <w:widowControl/>
              <w:kinsoku w:val="0"/>
              <w:autoSpaceDE w:val="0"/>
              <w:autoSpaceDN w:val="0"/>
              <w:adjustRightInd w:val="0"/>
              <w:snapToGrid w:val="0"/>
              <w:spacing w:before="142" w:line="218" w:lineRule="auto"/>
              <w:ind w:left="564"/>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通信地址</w:t>
            </w:r>
          </w:p>
        </w:tc>
        <w:tc>
          <w:tcPr>
            <w:tcW w:w="2102" w:type="dxa"/>
          </w:tcPr>
          <w:p w14:paraId="03E98382">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2F0479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40887397">
            <w:pPr>
              <w:widowControl/>
              <w:kinsoku w:val="0"/>
              <w:autoSpaceDE w:val="0"/>
              <w:autoSpaceDN w:val="0"/>
              <w:adjustRightInd w:val="0"/>
              <w:snapToGrid w:val="0"/>
              <w:spacing w:before="142" w:line="218" w:lineRule="auto"/>
              <w:ind w:left="51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邮政编码</w:t>
            </w:r>
          </w:p>
        </w:tc>
        <w:tc>
          <w:tcPr>
            <w:tcW w:w="2417" w:type="dxa"/>
          </w:tcPr>
          <w:p w14:paraId="2E6C8FA4">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c>
          <w:tcPr>
            <w:tcW w:w="1978" w:type="dxa"/>
          </w:tcPr>
          <w:p w14:paraId="78391E36">
            <w:pPr>
              <w:widowControl/>
              <w:kinsoku w:val="0"/>
              <w:autoSpaceDE w:val="0"/>
              <w:autoSpaceDN w:val="0"/>
              <w:adjustRightInd w:val="0"/>
              <w:snapToGrid w:val="0"/>
              <w:spacing w:before="142" w:line="218" w:lineRule="auto"/>
              <w:ind w:left="564"/>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邮政编码</w:t>
            </w:r>
          </w:p>
        </w:tc>
        <w:tc>
          <w:tcPr>
            <w:tcW w:w="2102" w:type="dxa"/>
          </w:tcPr>
          <w:p w14:paraId="2B64B5B1">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3C22B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1883" w:type="dxa"/>
          </w:tcPr>
          <w:p w14:paraId="008C3EB4">
            <w:pPr>
              <w:widowControl/>
              <w:kinsoku w:val="0"/>
              <w:autoSpaceDE w:val="0"/>
              <w:autoSpaceDN w:val="0"/>
              <w:adjustRightInd w:val="0"/>
              <w:snapToGrid w:val="0"/>
              <w:spacing w:before="134" w:line="221" w:lineRule="auto"/>
              <w:ind w:left="515"/>
              <w:jc w:val="left"/>
              <w:textAlignment w:val="baseline"/>
              <w:rPr>
                <w:rFonts w:ascii="宋体" w:cs="宋体"/>
                <w:snapToGrid w:val="0"/>
                <w:color w:val="000000"/>
                <w:kern w:val="0"/>
                <w:szCs w:val="21"/>
                <w:lang w:eastAsia="en-US"/>
              </w:rPr>
            </w:pPr>
            <w:r>
              <w:rPr>
                <w:rFonts w:ascii="宋体" w:cs="宋体"/>
                <w:snapToGrid w:val="0"/>
                <w:color w:val="000000"/>
                <w:spacing w:val="3"/>
                <w:kern w:val="0"/>
                <w:szCs w:val="21"/>
                <w:lang w:eastAsia="en-US"/>
              </w:rPr>
              <w:t>电子邮箱</w:t>
            </w:r>
          </w:p>
        </w:tc>
        <w:tc>
          <w:tcPr>
            <w:tcW w:w="2417" w:type="dxa"/>
          </w:tcPr>
          <w:p w14:paraId="1278E0FC">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c>
          <w:tcPr>
            <w:tcW w:w="1978" w:type="dxa"/>
          </w:tcPr>
          <w:p w14:paraId="023B0051">
            <w:pPr>
              <w:widowControl/>
              <w:kinsoku w:val="0"/>
              <w:autoSpaceDE w:val="0"/>
              <w:autoSpaceDN w:val="0"/>
              <w:adjustRightInd w:val="0"/>
              <w:snapToGrid w:val="0"/>
              <w:spacing w:before="134" w:line="221" w:lineRule="auto"/>
              <w:ind w:left="564"/>
              <w:jc w:val="left"/>
              <w:textAlignment w:val="baseline"/>
              <w:rPr>
                <w:rFonts w:ascii="宋体" w:cs="宋体"/>
                <w:snapToGrid w:val="0"/>
                <w:color w:val="000000"/>
                <w:kern w:val="0"/>
                <w:szCs w:val="21"/>
                <w:lang w:eastAsia="en-US"/>
              </w:rPr>
            </w:pPr>
            <w:r>
              <w:rPr>
                <w:rFonts w:ascii="宋体" w:cs="宋体"/>
                <w:snapToGrid w:val="0"/>
                <w:color w:val="000000"/>
                <w:spacing w:val="3"/>
                <w:kern w:val="0"/>
                <w:szCs w:val="21"/>
                <w:lang w:eastAsia="en-US"/>
              </w:rPr>
              <w:t>电子邮箱</w:t>
            </w:r>
          </w:p>
        </w:tc>
        <w:tc>
          <w:tcPr>
            <w:tcW w:w="2102" w:type="dxa"/>
          </w:tcPr>
          <w:p w14:paraId="6FAFDB97">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6256AE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1883" w:type="dxa"/>
          </w:tcPr>
          <w:p w14:paraId="25898C93">
            <w:pPr>
              <w:widowControl/>
              <w:kinsoku w:val="0"/>
              <w:autoSpaceDE w:val="0"/>
              <w:autoSpaceDN w:val="0"/>
              <w:adjustRightInd w:val="0"/>
              <w:snapToGrid w:val="0"/>
              <w:spacing w:before="83" w:line="223" w:lineRule="auto"/>
              <w:ind w:left="825" w:right="197" w:hanging="630"/>
              <w:jc w:val="left"/>
              <w:textAlignment w:val="baseline"/>
              <w:rPr>
                <w:rFonts w:ascii="宋体" w:cs="宋体"/>
                <w:snapToGrid w:val="0"/>
                <w:color w:val="000000"/>
                <w:kern w:val="0"/>
                <w:szCs w:val="21"/>
                <w:lang w:eastAsia="en-US"/>
              </w:rPr>
            </w:pPr>
            <w:r>
              <w:rPr>
                <w:rFonts w:ascii="宋体" w:cs="宋体"/>
                <w:snapToGrid w:val="0"/>
                <w:color w:val="000000"/>
                <w:spacing w:val="1"/>
                <w:kern w:val="0"/>
                <w:szCs w:val="21"/>
                <w:lang w:eastAsia="en-US"/>
              </w:rPr>
              <w:t>统一社会信用代</w:t>
            </w:r>
            <w:r>
              <w:rPr>
                <w:rFonts w:ascii="宋体" w:cs="宋体"/>
                <w:snapToGrid w:val="0"/>
                <w:color w:val="000000"/>
                <w:spacing w:val="2"/>
                <w:kern w:val="0"/>
                <w:szCs w:val="21"/>
                <w:lang w:eastAsia="en-US"/>
              </w:rPr>
              <w:t xml:space="preserve"> </w:t>
            </w:r>
            <w:r>
              <w:rPr>
                <w:rFonts w:ascii="宋体" w:cs="宋体"/>
                <w:snapToGrid w:val="0"/>
                <w:color w:val="000000"/>
                <w:kern w:val="0"/>
                <w:szCs w:val="21"/>
                <w:lang w:eastAsia="en-US"/>
              </w:rPr>
              <w:t>码</w:t>
            </w:r>
          </w:p>
        </w:tc>
        <w:tc>
          <w:tcPr>
            <w:tcW w:w="2417" w:type="dxa"/>
          </w:tcPr>
          <w:p w14:paraId="1F9A639D">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c>
          <w:tcPr>
            <w:tcW w:w="1978" w:type="dxa"/>
          </w:tcPr>
          <w:p w14:paraId="3770DC85">
            <w:pPr>
              <w:widowControl/>
              <w:kinsoku w:val="0"/>
              <w:autoSpaceDE w:val="0"/>
              <w:autoSpaceDN w:val="0"/>
              <w:adjustRightInd w:val="0"/>
              <w:snapToGrid w:val="0"/>
              <w:spacing w:before="203" w:line="218" w:lineRule="auto"/>
              <w:ind w:left="145"/>
              <w:jc w:val="left"/>
              <w:textAlignment w:val="baseline"/>
              <w:rPr>
                <w:rFonts w:ascii="宋体" w:cs="宋体"/>
                <w:snapToGrid w:val="0"/>
                <w:color w:val="000000"/>
                <w:kern w:val="0"/>
                <w:szCs w:val="21"/>
                <w:lang w:eastAsia="en-US"/>
              </w:rPr>
            </w:pPr>
            <w:r>
              <w:rPr>
                <w:rFonts w:ascii="宋体" w:cs="宋体"/>
                <w:snapToGrid w:val="0"/>
                <w:color w:val="000000"/>
                <w:spacing w:val="1"/>
                <w:kern w:val="0"/>
                <w:szCs w:val="21"/>
                <w:lang w:eastAsia="en-US"/>
              </w:rPr>
              <w:t>统一社会信用代码</w:t>
            </w:r>
          </w:p>
        </w:tc>
        <w:tc>
          <w:tcPr>
            <w:tcW w:w="2102" w:type="dxa"/>
          </w:tcPr>
          <w:p w14:paraId="45404A3D">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636A92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0A5C27C">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c>
          <w:tcPr>
            <w:tcW w:w="2417" w:type="dxa"/>
          </w:tcPr>
          <w:p w14:paraId="1ECC8458">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c>
          <w:tcPr>
            <w:tcW w:w="1978" w:type="dxa"/>
          </w:tcPr>
          <w:p w14:paraId="695C361E">
            <w:pPr>
              <w:widowControl/>
              <w:kinsoku w:val="0"/>
              <w:autoSpaceDE w:val="0"/>
              <w:autoSpaceDN w:val="0"/>
              <w:adjustRightInd w:val="0"/>
              <w:snapToGrid w:val="0"/>
              <w:spacing w:before="146" w:line="221" w:lineRule="auto"/>
              <w:ind w:left="564"/>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开户名称</w:t>
            </w:r>
          </w:p>
        </w:tc>
        <w:tc>
          <w:tcPr>
            <w:tcW w:w="2102" w:type="dxa"/>
          </w:tcPr>
          <w:p w14:paraId="46927DCF">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395E4E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0C68A14C">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c>
          <w:tcPr>
            <w:tcW w:w="2417" w:type="dxa"/>
          </w:tcPr>
          <w:p w14:paraId="1D13A6BB">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c>
          <w:tcPr>
            <w:tcW w:w="1978" w:type="dxa"/>
          </w:tcPr>
          <w:p w14:paraId="695831C4">
            <w:pPr>
              <w:widowControl/>
              <w:kinsoku w:val="0"/>
              <w:autoSpaceDE w:val="0"/>
              <w:autoSpaceDN w:val="0"/>
              <w:adjustRightInd w:val="0"/>
              <w:snapToGrid w:val="0"/>
              <w:spacing w:before="147" w:line="221" w:lineRule="auto"/>
              <w:ind w:left="564"/>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开户银行</w:t>
            </w:r>
          </w:p>
        </w:tc>
        <w:tc>
          <w:tcPr>
            <w:tcW w:w="2102" w:type="dxa"/>
          </w:tcPr>
          <w:p w14:paraId="3495C188">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754D83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195A3145">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c>
          <w:tcPr>
            <w:tcW w:w="2417" w:type="dxa"/>
          </w:tcPr>
          <w:p w14:paraId="687603A4">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c>
          <w:tcPr>
            <w:tcW w:w="1978" w:type="dxa"/>
          </w:tcPr>
          <w:p w14:paraId="27839BDF">
            <w:pPr>
              <w:widowControl/>
              <w:kinsoku w:val="0"/>
              <w:autoSpaceDE w:val="0"/>
              <w:autoSpaceDN w:val="0"/>
              <w:adjustRightInd w:val="0"/>
              <w:snapToGrid w:val="0"/>
              <w:spacing w:before="147" w:line="221" w:lineRule="auto"/>
              <w:ind w:left="564"/>
              <w:jc w:val="left"/>
              <w:textAlignment w:val="baseline"/>
              <w:rPr>
                <w:rFonts w:ascii="宋体" w:cs="宋体"/>
                <w:snapToGrid w:val="0"/>
                <w:color w:val="000000"/>
                <w:kern w:val="0"/>
                <w:szCs w:val="21"/>
                <w:lang w:eastAsia="en-US"/>
              </w:rPr>
            </w:pPr>
            <w:r>
              <w:rPr>
                <w:rFonts w:ascii="宋体" w:cs="宋体"/>
                <w:snapToGrid w:val="0"/>
                <w:color w:val="000000"/>
                <w:spacing w:val="3"/>
                <w:kern w:val="0"/>
                <w:szCs w:val="21"/>
                <w:lang w:eastAsia="en-US"/>
              </w:rPr>
              <w:t>银行账号</w:t>
            </w:r>
          </w:p>
        </w:tc>
        <w:tc>
          <w:tcPr>
            <w:tcW w:w="2102" w:type="dxa"/>
          </w:tcPr>
          <w:p w14:paraId="25AABE67">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6DD8E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jc w:val="center"/>
        </w:trPr>
        <w:tc>
          <w:tcPr>
            <w:tcW w:w="8380" w:type="dxa"/>
            <w:gridSpan w:val="4"/>
          </w:tcPr>
          <w:p w14:paraId="372B3D97">
            <w:pPr>
              <w:widowControl/>
              <w:kinsoku w:val="0"/>
              <w:autoSpaceDE w:val="0"/>
              <w:autoSpaceDN w:val="0"/>
              <w:adjustRightInd w:val="0"/>
              <w:snapToGrid w:val="0"/>
              <w:spacing w:before="197" w:line="218" w:lineRule="auto"/>
              <w:ind w:left="114"/>
              <w:jc w:val="left"/>
              <w:textAlignment w:val="baseline"/>
              <w:rPr>
                <w:rFonts w:ascii="宋体" w:cs="宋体"/>
                <w:snapToGrid w:val="0"/>
                <w:color w:val="000000"/>
                <w:kern w:val="0"/>
                <w:szCs w:val="21"/>
              </w:rPr>
            </w:pPr>
            <w:r>
              <w:rPr>
                <w:rFonts w:ascii="宋体" w:cs="宋体"/>
                <w:snapToGrid w:val="0"/>
                <w:color w:val="000000"/>
                <w:kern w:val="0"/>
                <w:szCs w:val="21"/>
              </w:rPr>
              <w:t>注：涉及联合体或其他合同主体的信息应按上</w:t>
            </w:r>
            <w:r>
              <w:rPr>
                <w:rFonts w:ascii="宋体" w:cs="宋体"/>
                <w:snapToGrid w:val="0"/>
                <w:color w:val="000000"/>
                <w:spacing w:val="-1"/>
                <w:kern w:val="0"/>
                <w:szCs w:val="21"/>
              </w:rPr>
              <w:t>表格式加列。</w:t>
            </w:r>
          </w:p>
        </w:tc>
      </w:tr>
    </w:tbl>
    <w:p w14:paraId="5A544A69">
      <w:pPr>
        <w:tabs>
          <w:tab w:val="left" w:pos="1875"/>
        </w:tabs>
      </w:pPr>
    </w:p>
    <w:p w14:paraId="3B2CF4E2">
      <w:pPr>
        <w:widowControl/>
        <w:jc w:val="left"/>
      </w:pPr>
      <w:r>
        <w:br w:type="page"/>
      </w:r>
    </w:p>
    <w:p w14:paraId="53720F5E">
      <w:pPr>
        <w:widowControl/>
        <w:kinsoku w:val="0"/>
        <w:autoSpaceDE w:val="0"/>
        <w:autoSpaceDN w:val="0"/>
        <w:adjustRightInd w:val="0"/>
        <w:snapToGrid w:val="0"/>
        <w:spacing w:before="140" w:line="223" w:lineRule="auto"/>
        <w:ind w:left="-2" w:leftChars="-1"/>
        <w:jc w:val="center"/>
        <w:textAlignment w:val="baseline"/>
        <w:rPr>
          <w:rFonts w:ascii="宋体" w:cs="黑体"/>
          <w:b/>
          <w:bCs/>
          <w:snapToGrid w:val="0"/>
          <w:color w:val="000000"/>
          <w:kern w:val="0"/>
          <w:sz w:val="28"/>
          <w:szCs w:val="28"/>
        </w:rPr>
      </w:pPr>
    </w:p>
    <w:p w14:paraId="24A88035">
      <w:pPr>
        <w:widowControl/>
        <w:kinsoku w:val="0"/>
        <w:autoSpaceDE w:val="0"/>
        <w:autoSpaceDN w:val="0"/>
        <w:adjustRightInd w:val="0"/>
        <w:snapToGrid w:val="0"/>
        <w:spacing w:before="140" w:line="223" w:lineRule="auto"/>
        <w:ind w:left="-2" w:leftChars="-1"/>
        <w:jc w:val="center"/>
        <w:textAlignment w:val="baseline"/>
        <w:rPr>
          <w:rFonts w:ascii="宋体" w:cs="黑体"/>
          <w:snapToGrid w:val="0"/>
          <w:color w:val="000000"/>
          <w:kern w:val="0"/>
          <w:sz w:val="28"/>
          <w:szCs w:val="28"/>
        </w:rPr>
      </w:pPr>
      <w:r>
        <w:rPr>
          <w:rFonts w:ascii="宋体" w:cs="黑体"/>
          <w:b/>
          <w:bCs/>
          <w:snapToGrid w:val="0"/>
          <w:color w:val="000000"/>
          <w:kern w:val="0"/>
          <w:sz w:val="28"/>
          <w:szCs w:val="28"/>
        </w:rPr>
        <w:t>第二节</w:t>
      </w:r>
      <w:r>
        <w:rPr>
          <w:rFonts w:hint="eastAsia" w:ascii="宋体" w:cs="黑体"/>
          <w:b/>
          <w:bCs/>
          <w:snapToGrid w:val="0"/>
          <w:color w:val="000000"/>
          <w:kern w:val="0"/>
          <w:sz w:val="28"/>
          <w:szCs w:val="28"/>
        </w:rPr>
        <w:t xml:space="preserve"> </w:t>
      </w:r>
      <w:r>
        <w:rPr>
          <w:rFonts w:ascii="宋体" w:cs="黑体"/>
          <w:b/>
          <w:bCs/>
          <w:snapToGrid w:val="0"/>
          <w:color w:val="000000"/>
          <w:kern w:val="0"/>
          <w:sz w:val="28"/>
          <w:szCs w:val="28"/>
        </w:rPr>
        <w:t>政府采购合同通用条款</w:t>
      </w:r>
    </w:p>
    <w:p w14:paraId="0CD2D8E7">
      <w:pPr>
        <w:widowControl/>
        <w:kinsoku w:val="0"/>
        <w:autoSpaceDE w:val="0"/>
        <w:autoSpaceDN w:val="0"/>
        <w:adjustRightInd w:val="0"/>
        <w:snapToGrid w:val="0"/>
        <w:spacing w:line="254" w:lineRule="auto"/>
        <w:jc w:val="left"/>
        <w:textAlignment w:val="baseline"/>
        <w:rPr>
          <w:rFonts w:ascii="宋体" w:cs="Arial"/>
          <w:snapToGrid w:val="0"/>
          <w:color w:val="000000"/>
          <w:kern w:val="0"/>
          <w:szCs w:val="21"/>
        </w:rPr>
      </w:pPr>
    </w:p>
    <w:p w14:paraId="710F0D5B">
      <w:pPr>
        <w:widowControl/>
        <w:kinsoku w:val="0"/>
        <w:autoSpaceDE w:val="0"/>
        <w:autoSpaceDN w:val="0"/>
        <w:adjustRightInd w:val="0"/>
        <w:snapToGrid w:val="0"/>
        <w:spacing w:before="68" w:line="221" w:lineRule="auto"/>
        <w:ind w:left="77"/>
        <w:jc w:val="left"/>
        <w:textAlignment w:val="baseline"/>
        <w:outlineLvl w:val="0"/>
        <w:rPr>
          <w:rFonts w:ascii="宋体" w:cs="宋体"/>
          <w:snapToGrid w:val="0"/>
          <w:color w:val="000000"/>
          <w:kern w:val="0"/>
          <w:szCs w:val="21"/>
        </w:rPr>
      </w:pPr>
      <w:r>
        <w:rPr>
          <w:rFonts w:ascii="宋体" w:cs="宋体"/>
          <w:b/>
          <w:bCs/>
          <w:snapToGrid w:val="0"/>
          <w:color w:val="000000"/>
          <w:kern w:val="0"/>
          <w:szCs w:val="21"/>
        </w:rPr>
        <w:t>1.</w:t>
      </w:r>
      <w:r>
        <w:rPr>
          <w:rFonts w:ascii="宋体" w:cs="宋体"/>
          <w:snapToGrid w:val="0"/>
          <w:color w:val="000000"/>
          <w:kern w:val="0"/>
          <w:szCs w:val="21"/>
        </w:rPr>
        <w:t xml:space="preserve"> </w:t>
      </w:r>
      <w:r>
        <w:rPr>
          <w:rFonts w:ascii="宋体" w:cs="宋体"/>
          <w:b/>
          <w:bCs/>
          <w:snapToGrid w:val="0"/>
          <w:color w:val="000000"/>
          <w:kern w:val="0"/>
          <w:szCs w:val="21"/>
        </w:rPr>
        <w:t>定</w:t>
      </w:r>
      <w:r>
        <w:rPr>
          <w:rFonts w:ascii="宋体" w:cs="宋体"/>
          <w:snapToGrid w:val="0"/>
          <w:color w:val="000000"/>
          <w:kern w:val="0"/>
          <w:szCs w:val="21"/>
        </w:rPr>
        <w:t xml:space="preserve"> </w:t>
      </w:r>
      <w:r>
        <w:rPr>
          <w:rFonts w:ascii="宋体" w:cs="宋体"/>
          <w:b/>
          <w:bCs/>
          <w:snapToGrid w:val="0"/>
          <w:color w:val="000000"/>
          <w:kern w:val="0"/>
          <w:szCs w:val="21"/>
        </w:rPr>
        <w:t>义</w:t>
      </w:r>
    </w:p>
    <w:p w14:paraId="79C21DEF">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1.1合同当事人</w:t>
      </w:r>
    </w:p>
    <w:p w14:paraId="3774E273">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(1)采购人(以下称甲方)是指使用财政性资金，通过政府采购方式向供应商购买货物及其相关服务的国家机关、事业单位、团体组织。</w:t>
      </w:r>
    </w:p>
    <w:p w14:paraId="43458777">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(2)供应商(以下称乙方)是指参加政府采购活动并且中标(成交),向采购人提供合同约定的货物及其相关服务的法人、非法人组织或者自然人。</w:t>
      </w:r>
    </w:p>
    <w:p w14:paraId="58800058">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(3)其他合同主体是指除采购人和供应商以外，依法参与合同缔结或履行，享有权利、承担义务的合同当事人。</w:t>
      </w:r>
    </w:p>
    <w:p w14:paraId="1FAA0CE9">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1.2本合同下列术语应解释为：</w:t>
      </w:r>
    </w:p>
    <w:p w14:paraId="69AB2B92">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(1)“合同”系指合同当事人意思表示达成一致的任何协议，包括签署的政府采购合 同协议书及其变更、补充协议，政府采购合同专用条款，政府采购合同通用条款，中标(成 交)通知书，投标(响应)文件，采购文件，有关技术文件和图纸，以及国家法律、行政法规和规章制度规定或合同约定的作为合同组成部分的其他文件。</w:t>
      </w:r>
    </w:p>
    <w:p w14:paraId="4212CA7B">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(2)“合同价款”系指根据本合同规定乙方在全面履行合同义务后甲方应支付给乙方的价款。</w:t>
      </w:r>
    </w:p>
    <w:p w14:paraId="0B725833">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(3)“货物”系指乙方根据本合同规定须向甲方提供的各种形态和种类的物品，包括原材料、设备、产品(包括软件)及相关的其备品备件、工具、手册及其他技术资料和材料等。</w:t>
      </w:r>
    </w:p>
    <w:p w14:paraId="08DB4A4F">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(4)“相关服务”系指根据合同规定，乙方应提供的与货物有关的技术、管理和其他  服务，包括但不限于：管理和质量保证、运输、保险、检验、现场准备、安装、集成、调试、培训、维修、废弃处置、技术支持等以及合同中规定乙方应承担的其他义务。</w:t>
      </w:r>
    </w:p>
    <w:p w14:paraId="459DB789">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(5)“分包”系指中标(成交)供应商按采购文件、投标(响应)文件的规定，根据 分包意向协议，将中标(成交)项目中的部分履约内容，分给具有相应资质条件的供应商履行合同的行为。</w:t>
      </w:r>
    </w:p>
    <w:p w14:paraId="2B7445BC">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(6)“联合体”系指由两个以上的自然人、法人或者非法人组织组成，以一个供应商 的身份共同参加政府采购的主体。联合体各方应在签订合同协议书前向甲方提交联合协议， 且明确牵头人及各成员单位的工作分工、权利、义务、责任，联合体各方应共同与甲方签订合同，就合同约定的事项对甲方承担连带责任。联合体具体要求见【政府采购合同专用条款】</w:t>
      </w:r>
    </w:p>
    <w:p w14:paraId="48C2A965">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(7)其他术语解释，见【政府采购合同专用条款】。</w:t>
      </w:r>
    </w:p>
    <w:p w14:paraId="20710FF7">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 合同标的及金额</w:t>
      </w:r>
    </w:p>
    <w:p w14:paraId="2FDF074B">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2.1 合同标的及金额应与中标(成交)结果一致。乙方为履行本合同而发生的所有费用均应包含在合同价款中，甲方不再另行支付其他任何费用。</w:t>
      </w:r>
    </w:p>
    <w:p w14:paraId="1F168362">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3. 履行合同的时间、地点和方式</w:t>
      </w:r>
    </w:p>
    <w:p w14:paraId="7844C2D4">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3.1 乙方应当在约定的时间、地点，按照约定方式履行合同。</w:t>
      </w:r>
    </w:p>
    <w:p w14:paraId="530F2331">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4. 甲方的权利和义务</w:t>
      </w:r>
    </w:p>
    <w:p w14:paraId="22388A01">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4.1 签署合同后，甲方应确定项目负责人(或项目联系人),负责与本合同有关的事务。 甲方有权对乙方的履约行为进行检查，并及时确认乙方提交的事项。甲方应当配合乙方完成相关项目实施工作。</w:t>
      </w:r>
    </w:p>
    <w:p w14:paraId="1A42A6DF">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4.2 甲方有权要求乙方按时提交各阶段有关安排计划，并有权定期核对乙方提供货物数量、规格、质量等内容。甲方有权督促乙方工作并要求乙方更换不符合要求的货物。</w:t>
      </w:r>
    </w:p>
    <w:p w14:paraId="2571E31A">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4.3 甲方有权要求乙方对缺陷部分予以修复，并按合同约定享有货物保修及其他合同约定的权利。</w:t>
      </w:r>
    </w:p>
    <w:p w14:paraId="44EFA725">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4.4 甲方应当按照合同约定及时对交付的货物进行验收，未在【政府采购合同专用条款】约定的期限内对乙方履约提出任何异议或者向乙方作出任何说明的，视为验收通过。</w:t>
      </w:r>
    </w:p>
    <w:p w14:paraId="15B1B1A5">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4.5 甲方应当根据合同约定及时向乙方支付合同价款，不得以内部人员变更、履行内部付款流程等为由，拒绝或迟延支付。</w:t>
      </w:r>
    </w:p>
    <w:p w14:paraId="075E6187">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4.6 国家法律法规规定及【政府采购合同专用条款】约定应由甲方承担的其他义务和责任。</w:t>
      </w:r>
    </w:p>
    <w:p w14:paraId="49525339">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5. 乙方的权利和义务</w:t>
      </w:r>
    </w:p>
    <w:p w14:paraId="117FEB0C">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5.1 签署合同后，乙方应确定项目负责人(或项目联系人),负责与本合同有关的事务。</w:t>
      </w:r>
    </w:p>
    <w:p w14:paraId="3BD4B674">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5.2 乙方应按照合同要求履约，充分合理安排，确保提供的货物及相关服务符合合同有 关要求。接受项目行业管理部门及政府有关部门的指导，配合甲方的履约检查及验收，并负责项目实施过程中的所有协调工作。</w:t>
      </w:r>
    </w:p>
    <w:p w14:paraId="70705868">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5.3乙方有权根据合同约定向甲方收取合同价款。</w:t>
      </w:r>
    </w:p>
    <w:p w14:paraId="2B52F60F">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5.4国家法律法规规定及【政府采购合同专用条款】约定应由乙方承担的其他义务和责任。</w:t>
      </w:r>
    </w:p>
    <w:p w14:paraId="374CE73D">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6. 合同履行</w:t>
      </w:r>
    </w:p>
    <w:p w14:paraId="0B17643B">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6.1 甲乙双方应当按照【政府采购合同专用条款】约定顺序履行合同义务；如果没有先后顺序的，应当同时履行。</w:t>
      </w:r>
    </w:p>
    <w:p w14:paraId="1FDDCC7A">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6.2 甲乙双方按照合同约定顺序履行合同义务时，应当先履行一方未履行的，后履行一 方有权拒绝其履行请求。先履行一方履行不符合约定的，后履行一方有权拒绝其相应的履行请求。</w:t>
      </w:r>
    </w:p>
    <w:p w14:paraId="70656561">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7. 货物包装、运输、保险和交付要求</w:t>
      </w:r>
    </w:p>
    <w:p w14:paraId="288E20B2">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7.1 本合同涉及商品包装、快递包装的，除【政府采购合同专用条款】另有约定外，包 装应适应远距离运输、防潮、防震、防锈和防野蛮装卸等要求，确保货物安全无损地运抵【政府采购合同专用条款】约定的指定现场。</w:t>
      </w:r>
    </w:p>
    <w:p w14:paraId="19EBA1F0">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7.2 除【政府采购合同专用条款】另有约定外，乙方负责办理将货物运抵本合同规定的交货地点，并装卸、交付至甲方的一切运输事项，相关费用应包含在合同价款中。</w:t>
      </w:r>
    </w:p>
    <w:p w14:paraId="68051359">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7.3 货物保险要求按【政府采购合同专用条款】规定执行。</w:t>
      </w:r>
    </w:p>
    <w:p w14:paraId="369FC085">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7.4 除采购活动对商品包装、快递包装达成具体约定外，乙方提供产品及相关快递服务 涉及到具体包装要求的，应不低于《商品包装政府采购需求标准(试行)》《快递包装政府 采购需求标准(试行)》标准，并作为履约验收的内容，必要时甲方可以要求乙方在履约验收环节出具检测报告。</w:t>
      </w:r>
    </w:p>
    <w:p w14:paraId="39C0417B">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7.5 乙方在运输到达之前应提前通知甲方，并提示货物运输装卸的注意事项，甲方配合乙方做好货物的接收工作。</w:t>
      </w:r>
    </w:p>
    <w:p w14:paraId="68939EB4">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7.6 如因包装、运输问题导致货物损毁、丢失或者品质下降，甲方有权要求降价、换货、拒收部分或整批货物，由此产生的费用和损失，均由乙方承担。</w:t>
      </w:r>
    </w:p>
    <w:p w14:paraId="35D8D87B">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8. 质量标准和保证</w:t>
      </w:r>
    </w:p>
    <w:p w14:paraId="69E88756">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8.1 质量标准</w:t>
      </w:r>
    </w:p>
    <w:p w14:paraId="0D67DE3F">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(1)本合同下提供的货物应符合合同约定的品牌、规格型号、技术性能、配置、质量、 数量等要求。质量要求不明确的，按照强制性国家标准履行；没有强制性国家标准的，按照  推荐性国家标准履行；没有推荐性国家标准的，按照行业标准履行；没有国家标准、行业标准的，按照通常标准或者符合合同目的的特定标准履行。</w:t>
      </w:r>
    </w:p>
    <w:p w14:paraId="6ED35969">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(2)采用中华人民共和国法定计量单位。</w:t>
      </w:r>
    </w:p>
    <w:p w14:paraId="2AEAF1F6">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(3)乙方所提供的货物应符合国家有关安全、环保、卫生的规定。</w:t>
      </w:r>
    </w:p>
    <w:p w14:paraId="6162DEBD">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(4)乙方应向甲方提交所提供货物的技术文件，包括相应的中文技术文件，如：产品 目录、图纸、操作手册、使用说明、维护手册或服务指南等。上述文件应包装好随货物一同发运。</w:t>
      </w:r>
    </w:p>
    <w:p w14:paraId="4D113A41">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8.2 保证</w:t>
      </w:r>
    </w:p>
    <w:p w14:paraId="3FFE9E53">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(1)乙方应保证提供的货物完全符合合同规定的质量、规格和性能要求。乙方应保证 货物在正确安装、正常使用和保养条件下，在其使用寿命期内具备合同约定的性能。存在质 量保证期的，货物最终交付验收合格后在【政府采购合同专用条款】规定或乙方书面承诺(两者以较长的为准)的质量保证期内，本保证保持有效。</w:t>
      </w:r>
    </w:p>
    <w:p w14:paraId="67441A44">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(2)在质量保证期内所发现的缺陷，甲方应尽快以书面形式通知乙方。</w:t>
      </w:r>
    </w:p>
    <w:p w14:paraId="1A8E484B">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(3)乙方收到通知后，应在【政府采购合同专用条款】规定的响应时间内以合理的速度免费维修或更换有缺陷的货物或部件。</w:t>
      </w:r>
    </w:p>
    <w:p w14:paraId="72DB96E4">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(4)在质量保证期内，如果货物的质量或规格与合同不符，或证实货物是有缺陷的， 包括潜在的缺陷或使用不符合要求的材料等，甲方可以根据本合同第15.1条规定以书面形式追究乙方的违约责任。</w:t>
      </w:r>
    </w:p>
    <w:p w14:paraId="41BD2CCD">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(5)乙方在约定的时间内未能弥补缺陷，甲方可采取必要的补救措施，但其风险和费用将由乙方承担，甲方根据合同约定对乙方行使的其他权利不受影响。</w:t>
      </w:r>
    </w:p>
    <w:p w14:paraId="2C72F238">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9. 权利瑕疵担保</w:t>
      </w:r>
    </w:p>
    <w:p w14:paraId="08847B3E">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9.1 乙方保证对其出售的货物享有合法的权利。</w:t>
      </w:r>
    </w:p>
    <w:p w14:paraId="5A9A3579">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9.2 乙方保证在交付的货物上不存在抵押权等担保物权。</w:t>
      </w:r>
    </w:p>
    <w:p w14:paraId="1CF1ED14">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9.3 如甲方使用上述货物构成对第三人侵权的，则由乙方承担全部责任。</w:t>
      </w:r>
    </w:p>
    <w:p w14:paraId="57BB7EE9">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10. 知识产权保护</w:t>
      </w:r>
    </w:p>
    <w:p w14:paraId="4BF4A829">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10.1 乙方对其所销售的货物应当享有知识产权或经权利人合法授权，保证没有侵犯任 何第三人的知识产权等权利。因违反前述约定对第三人构成侵权的，应当由乙方向第三人承 担法律责任；甲方依法向第三人赔偿后，有权向乙方追偿。甲方有其他损失的，乙方应当赔偿。</w:t>
      </w:r>
    </w:p>
    <w:p w14:paraId="6F392908">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11. 保密义务</w:t>
      </w:r>
    </w:p>
    <w:p w14:paraId="36ECD4BF">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11.1 甲、乙双方对采购和合同履行过程中所获悉的国家秘密、工作秘密、商业秘密或  者其他应当保密的信息，均有保密义务且不受合同有效期所限，直至该信息成为公开信息。 泄露、不正当地使用国家秘密、工作秘密、商业秘密或者其他应当保密的信息，应当承担相应责任。其他应当保密的信息由双方在【政府采购合同专用条款】中约定。</w:t>
      </w:r>
    </w:p>
    <w:p w14:paraId="05611361">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12. 合同价款支付</w:t>
      </w:r>
    </w:p>
    <w:p w14:paraId="153D3022">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12.1 合同价款支付按照国库集中支付制度及财政管理相关规定执行。</w:t>
      </w:r>
    </w:p>
    <w:p w14:paraId="5D350986">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12.2 对于满足合同约定支付条件的，甲方原则上应当自收到发票后10个工作日内将资 金支付到合同约定的乙方账户，不得以机构变动、人员更替、政策调整等为由迟延付款，不 得将采购文件和合同中未规定的义务作为向乙方付款的条件。具体合同价款支付时间在【政府采购合同专用条款】中约定。</w:t>
      </w:r>
    </w:p>
    <w:p w14:paraId="28F28AA8">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13. 履约保证金</w:t>
      </w:r>
    </w:p>
    <w:p w14:paraId="28223091">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13.1 乙方应当以支票、汇票、本票或者金融机构、担保机构出具的保函等非现金形式提交。</w:t>
      </w:r>
    </w:p>
    <w:p w14:paraId="2ACA2666">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13.2 如果乙方出现【政府采购合同专用条款】约定情形的，履约保证金不予退还；如 果乙方未能按合同约定全面履行义务，甲方有权从履约保证金中取得补偿或赔偿，且不影响甲方要求乙方承担合同约定的超过履约保证金的违约责任的权利。</w:t>
      </w:r>
    </w:p>
    <w:p w14:paraId="34928C41">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13.3 甲方在项目通过验收后按照【政府采购合同专用条款】规定的时间内将履约保证 金退还乙方；逾期退还的，乙方可要求甲方支付违约金，违约金按照【政府采购合同专用条款】规定支付。</w:t>
      </w:r>
    </w:p>
    <w:p w14:paraId="29D7B3E7">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14. 售后服务</w:t>
      </w:r>
    </w:p>
    <w:p w14:paraId="23A806AF">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14.1 除项目不涉及或采购活动中明确约定无须承担外，乙方还应提供下列服务：</w:t>
      </w:r>
    </w:p>
    <w:p w14:paraId="2BB3DBE1">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(1)货物的现场移动、安装、调试、启动监督及技术支持；</w:t>
      </w:r>
    </w:p>
    <w:p w14:paraId="15C5288F">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(2)提供货物组装和维修所需的专用工具和辅助材料；</w:t>
      </w:r>
    </w:p>
    <w:p w14:paraId="4CDA53A6">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(3)在【政府采购合同专用条款】约定的期限内对所有的货物实施运行监督、维修，但前提条件是该服务并不能免除乙方在质量保证期内所承担的义务；</w:t>
      </w:r>
    </w:p>
    <w:p w14:paraId="6063B9E1">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(4)在制造商所在地或指定现场就货物的安装、启动、运营、维护、废弃处置等对甲方操作人员进行培训；</w:t>
      </w:r>
    </w:p>
    <w:p w14:paraId="09B1CC11">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(5)依照法律、行政法规的规定或者按照【政府采购合同专用条款】约定，货物在有效使用年限届满后应予回收的，乙方负有自行或者委托第三人对货物予以回收的义务；</w:t>
      </w:r>
    </w:p>
    <w:p w14:paraId="10B57CD7">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(6)【政府采购合同专用条款】规定由乙方提供的其他服务。</w:t>
      </w:r>
    </w:p>
    <w:p w14:paraId="1964409D">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14.2 乙方提供的售后服务的费用已包含在合同价款中，甲方不再另行支付。</w:t>
      </w:r>
    </w:p>
    <w:p w14:paraId="2563DDE9">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15. 违约责任</w:t>
      </w:r>
    </w:p>
    <w:p w14:paraId="4EB5CC09">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15.1质量瑕疵的违约责任</w:t>
      </w:r>
    </w:p>
    <w:p w14:paraId="563A8517">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乙方提供的产品不符合合同约定的质量标准或存在产品质量缺陷，甲方有权要求乙方根据【政府采购合同专用条款】要求及时修理、重作、更换，并承担由此给甲方造成的损失。</w:t>
      </w:r>
    </w:p>
    <w:p w14:paraId="5F4B6262">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15.2 迟延交货的违约责任</w:t>
      </w:r>
    </w:p>
    <w:p w14:paraId="1B9802E2">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05DF5436">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(2)如果乙方没有按照合同规定的时间交货和提供相关服务，甲方有权从货款中扣除 误期赔偿费而不影响合同项下的其他补救方法，赔偿费按【政府采购合同专用条款】规定执行。如果涉及公共利益，且赔偿金额无法弥补公共利益损失，甲方可要求继续履行或者采取其他补救措施。</w:t>
      </w:r>
    </w:p>
    <w:p w14:paraId="4BD14CD5">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15.3 迟延支付的违约责任</w:t>
      </w:r>
    </w:p>
    <w:p w14:paraId="64D4063E">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甲方存在迟延支付乙方合同款项的，应当承担【政府采购合同专用条款】规定的逾期付款利息。</w:t>
      </w:r>
    </w:p>
    <w:p w14:paraId="2564B804">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15.4其他违约责任根据项目实际需要按【政府采购合同专用条款】规定执行。</w:t>
      </w:r>
    </w:p>
    <w:p w14:paraId="5B9FEF6B">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16. 合同变更、中止与终止</w:t>
      </w:r>
    </w:p>
    <w:p w14:paraId="2CD64C60">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16.1合同的变更</w:t>
      </w:r>
    </w:p>
    <w:p w14:paraId="2CD5FB81">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政府采购合同履行中，在不改变合同其他条款的前提下，甲方可以在合同价款10%的范围内追加与合同标的相同的货物，并就此与乙方协商一致后签订补充协议。</w:t>
      </w:r>
    </w:p>
    <w:p w14:paraId="61E1EA26">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16.2合同的中止</w:t>
      </w:r>
    </w:p>
    <w:p w14:paraId="27DD2C01">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(1)合同履行过程中因供应商就采购文件、采购过程或结果提起投诉的，甲方认为有必要的，可以中止合同的履行。</w:t>
      </w:r>
    </w:p>
    <w:p w14:paraId="157587DC">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(2)合同履行过程中，如果乙方出现以下情形之一的：1.经营状况严重恶化；2.转 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1F0DA154">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(3)乙方分立、合并或者变更住所的，应当及时以书面形式告知甲方。乙方没有及时 告知甲方，致使合同履行发生困难的，甲方可以中止合同履行并要求乙方承担由此给甲方造成的损失。</w:t>
      </w:r>
    </w:p>
    <w:p w14:paraId="51659804">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(4)甲方不得以行政区划调整、政府换届、机构或者职能调整以及相关责任人更替为由中止合同。</w:t>
      </w:r>
    </w:p>
    <w:p w14:paraId="02943A5F">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16.3合同的终止</w:t>
      </w:r>
    </w:p>
    <w:p w14:paraId="6FAC9063">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(1)合同因有效期限届满而终止；</w:t>
      </w:r>
    </w:p>
    <w:p w14:paraId="015F725D">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(2)乙方未按合同约定履行，构成根本性违约的，甲方有权终止合同，并追究乙方的违约责任。</w:t>
      </w:r>
    </w:p>
    <w:p w14:paraId="168CE2F2">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16.4 涉及国家利益、社会公共利益的情形</w:t>
      </w:r>
    </w:p>
    <w:p w14:paraId="18E402DE">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政府采购合同继续履行将损害国家利益和社会公共利益的，双方当事人应当变更、中止或者终止合同。有过错的一方应当承担赔偿责任，双方都有过错的，各自承担相应的责任。</w:t>
      </w:r>
    </w:p>
    <w:p w14:paraId="241B9615">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17. 合同分包</w:t>
      </w:r>
    </w:p>
    <w:p w14:paraId="72190391">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17.1 乙方不得将合同转包给其他供应商。涉及合同分包的，乙方应根据采购文件和投标(响应)文件规定进行合同分包。</w:t>
      </w:r>
    </w:p>
    <w:p w14:paraId="1F7BA3F9">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17.2 乙方执行政府采购政策向中小企业依法分包的，乙方应当按采购文件和投标(响应)文件签订分包意向协议，分包意向协议属于本合同组成部分。</w:t>
      </w:r>
    </w:p>
    <w:p w14:paraId="3D5ABBF3">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18. 不可抗力</w:t>
      </w:r>
    </w:p>
    <w:p w14:paraId="1C7FF8A4">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18.1 不可抗力是指合同双方不能预见、不能避免且不能克服的客观情况。</w:t>
      </w:r>
    </w:p>
    <w:p w14:paraId="23BC26C1">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18.2 任何一方对由于不可抗力造成的部分或全部不能履行合同不承担违约责任。但迟延履行后发生不可抗力的，不能免除责任。</w:t>
      </w:r>
    </w:p>
    <w:p w14:paraId="25549F3B">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18.3 遇有不可抗力的一方，应及时将事件情况以书面形式告知另一方，并在事件发生 后及时向另一方提交合同不能履行或部分不能履行或需要延期履行的详细报告，以及证明不可抗力发生及其持续时间的证据。</w:t>
      </w:r>
    </w:p>
    <w:p w14:paraId="44D540A0">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19. 解决争议的方法</w:t>
      </w:r>
    </w:p>
    <w:p w14:paraId="4053F71D">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19.1 因本合同及合同有关事项发生的争议，由甲乙双方友好协商解决。协商不成时， 可以向有关组织申请调解。合同一方或双方不愿调解或调解不成的，可以通过仲裁或诉讼的方式解决争议。</w:t>
      </w:r>
    </w:p>
    <w:p w14:paraId="419AD23C">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19.2 选择仲裁的，应在【政府采购合同专用条款】中明确仲裁机构及仲裁地；通过诉 讼方式解决的，可以在【政府采购合同专用条款】中进一步约定选择与争议有实际联系的地点的人民法院管辖，但管辖法院的约定不得违反级别管辖和专属管辖的规定。</w:t>
      </w:r>
    </w:p>
    <w:p w14:paraId="2418E926">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19.3 如甲乙双方有争议的事项不影响合同其他部分的履行，在争议解决期间，合同其他部分应当继续履行。</w:t>
      </w:r>
    </w:p>
    <w:p w14:paraId="58AF7F30">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20. 政府采购政策</w:t>
      </w:r>
    </w:p>
    <w:p w14:paraId="325C4173">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20.1 本合同应当按照规定执行政府采购政策。</w:t>
      </w:r>
    </w:p>
    <w:p w14:paraId="60753905">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20.2 本合同依法执行政府采购政策的方式和内容，属于合同履约验收的范围。甲乙双 方未按规定要求执行政府采购政策造成损失的，有过错的一方应当承担赔偿责任，双方都有过错的，各自承担相应的责任。</w:t>
      </w:r>
    </w:p>
    <w:p w14:paraId="657B7B59">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20.3 对于为落实中小企业支持政策，通过采购项目整体预留、设置采购包专门预留、 要求以联合体形式参加或者合同分包等措施签订的采购合同，应当明确标注本合同为中小企 业预留合同。其中，要求以联合体形式参加采购活动或者合同分包的，须将联合协议或者分包意向协议作为采购合同的组成部分。</w:t>
      </w:r>
    </w:p>
    <w:p w14:paraId="34635F36">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21. 法律适用</w:t>
      </w:r>
    </w:p>
    <w:p w14:paraId="551D7C0E">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21.1 本合同的订立、生效、解释、履行及与本合同有关的争议解决，均适用法律、行政法规。</w:t>
      </w:r>
    </w:p>
    <w:p w14:paraId="58221E11">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21.2 本合同条款与法律、行政法规的强制性规定不一致的，双方当事人应按照法律、行政法规的强制性规定修改本合同的相关条款。</w:t>
      </w:r>
    </w:p>
    <w:p w14:paraId="03B0B7D5">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22. 通知</w:t>
      </w:r>
    </w:p>
    <w:p w14:paraId="1023630C">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22.1 本合同任何一方向对方发出的通知、信件、数据电文等，应当发送至本合同第一部分《政府采购合同协议书》所约定的通讯地址、联系人、联系电话或电子邮箱。</w:t>
      </w:r>
    </w:p>
    <w:p w14:paraId="32EF1271">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22.2 一方当事人变更名称、住所、联系人、联系电话或电子邮箱等信息的，应当在变更后3日内及时书面通知对方，对方实际收到变更通知前的送达仍为有效送达。</w:t>
      </w:r>
    </w:p>
    <w:p w14:paraId="3EE12120">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22.3本合同一方给另一方的通知均应采用书面形式，传真或快递送到本合同中规定的对方的地址和办理签收手续。</w:t>
      </w:r>
    </w:p>
    <w:p w14:paraId="3D03A2B9">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22.4</w:t>
      </w:r>
      <w:r>
        <w:rPr>
          <w:rFonts w:hint="eastAsia" w:ascii="宋体" w:cs="宋体"/>
          <w:snapToGrid w:val="0"/>
          <w:color w:val="000000"/>
          <w:kern w:val="0"/>
          <w:szCs w:val="21"/>
        </w:rPr>
        <w:t xml:space="preserve"> </w:t>
      </w:r>
      <w:r>
        <w:rPr>
          <w:rFonts w:ascii="宋体" w:cs="宋体"/>
          <w:snapToGrid w:val="0"/>
          <w:color w:val="000000"/>
          <w:kern w:val="0"/>
          <w:szCs w:val="21"/>
        </w:rPr>
        <w:t>通知以送达之日或通知书中规定的生效之日起生效，两者中以较迟之日为准。</w:t>
      </w:r>
    </w:p>
    <w:p w14:paraId="05FBE850">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23. 合同未尽事项</w:t>
      </w:r>
    </w:p>
    <w:p w14:paraId="6D364BA4">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23.1</w:t>
      </w:r>
      <w:r>
        <w:rPr>
          <w:rFonts w:hint="eastAsia" w:ascii="宋体" w:cs="宋体"/>
          <w:snapToGrid w:val="0"/>
          <w:color w:val="000000"/>
          <w:kern w:val="0"/>
          <w:szCs w:val="21"/>
        </w:rPr>
        <w:t xml:space="preserve"> </w:t>
      </w:r>
      <w:r>
        <w:rPr>
          <w:rFonts w:ascii="宋体" w:cs="宋体"/>
          <w:snapToGrid w:val="0"/>
          <w:color w:val="000000"/>
          <w:kern w:val="0"/>
          <w:szCs w:val="21"/>
        </w:rPr>
        <w:t>合同未尽事项见【政府采购合同专用条款】。</w:t>
      </w:r>
    </w:p>
    <w:p w14:paraId="2053925F">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t>23.2 合同附件与合同正文具有同等的法律效力。</w:t>
      </w:r>
    </w:p>
    <w:p w14:paraId="530EF0BD">
      <w:pPr>
        <w:widowControl/>
        <w:kinsoku w:val="0"/>
        <w:autoSpaceDE w:val="0"/>
        <w:autoSpaceDN w:val="0"/>
        <w:adjustRightInd w:val="0"/>
        <w:snapToGrid w:val="0"/>
        <w:spacing w:before="132" w:line="360" w:lineRule="auto"/>
        <w:ind w:firstLine="424" w:firstLineChars="202"/>
        <w:jc w:val="left"/>
        <w:textAlignment w:val="baseline"/>
        <w:rPr>
          <w:rFonts w:ascii="宋体" w:cs="宋体"/>
          <w:snapToGrid w:val="0"/>
          <w:color w:val="000000"/>
          <w:kern w:val="0"/>
          <w:szCs w:val="21"/>
        </w:rPr>
      </w:pPr>
      <w:r>
        <w:rPr>
          <w:rFonts w:ascii="宋体" w:cs="宋体"/>
          <w:snapToGrid w:val="0"/>
          <w:color w:val="000000"/>
          <w:kern w:val="0"/>
          <w:szCs w:val="21"/>
        </w:rPr>
        <w:br w:type="page"/>
      </w:r>
    </w:p>
    <w:p w14:paraId="744B4CCA">
      <w:pPr>
        <w:widowControl/>
        <w:kinsoku w:val="0"/>
        <w:autoSpaceDE w:val="0"/>
        <w:autoSpaceDN w:val="0"/>
        <w:adjustRightInd w:val="0"/>
        <w:snapToGrid w:val="0"/>
        <w:spacing w:before="133" w:line="218" w:lineRule="auto"/>
        <w:ind w:left="493"/>
        <w:jc w:val="left"/>
        <w:textAlignment w:val="baseline"/>
        <w:rPr>
          <w:rFonts w:ascii="宋体" w:cs="宋体"/>
          <w:snapToGrid w:val="0"/>
          <w:color w:val="000000"/>
          <w:kern w:val="0"/>
          <w:sz w:val="22"/>
          <w:szCs w:val="22"/>
        </w:rPr>
      </w:pPr>
    </w:p>
    <w:p w14:paraId="58D9778D">
      <w:pPr>
        <w:widowControl/>
        <w:kinsoku w:val="0"/>
        <w:autoSpaceDE w:val="0"/>
        <w:autoSpaceDN w:val="0"/>
        <w:adjustRightInd w:val="0"/>
        <w:snapToGrid w:val="0"/>
        <w:spacing w:before="56" w:line="223" w:lineRule="auto"/>
        <w:ind w:left="1"/>
        <w:jc w:val="center"/>
        <w:textAlignment w:val="baseline"/>
        <w:rPr>
          <w:rFonts w:ascii="宋体" w:cs="黑体"/>
          <w:snapToGrid w:val="0"/>
          <w:color w:val="000000"/>
          <w:kern w:val="0"/>
          <w:sz w:val="28"/>
          <w:szCs w:val="28"/>
        </w:rPr>
      </w:pPr>
      <w:r>
        <w:rPr>
          <w:rFonts w:ascii="宋体" w:cs="黑体"/>
          <w:b/>
          <w:bCs/>
          <w:snapToGrid w:val="0"/>
          <w:color w:val="000000"/>
          <w:spacing w:val="5"/>
          <w:kern w:val="0"/>
          <w:sz w:val="28"/>
          <w:szCs w:val="28"/>
        </w:rPr>
        <w:t>第三节</w:t>
      </w:r>
      <w:r>
        <w:rPr>
          <w:rFonts w:hint="eastAsia" w:ascii="宋体" w:cs="黑体"/>
          <w:b/>
          <w:bCs/>
          <w:snapToGrid w:val="0"/>
          <w:color w:val="000000"/>
          <w:spacing w:val="5"/>
          <w:kern w:val="0"/>
          <w:sz w:val="28"/>
          <w:szCs w:val="28"/>
        </w:rPr>
        <w:t xml:space="preserve"> </w:t>
      </w:r>
      <w:r>
        <w:rPr>
          <w:rFonts w:ascii="宋体" w:cs="黑体"/>
          <w:b/>
          <w:bCs/>
          <w:snapToGrid w:val="0"/>
          <w:color w:val="000000"/>
          <w:spacing w:val="5"/>
          <w:kern w:val="0"/>
          <w:sz w:val="28"/>
          <w:szCs w:val="28"/>
        </w:rPr>
        <w:t>政府采购合同专用条款</w:t>
      </w:r>
    </w:p>
    <w:p w14:paraId="7AF45071">
      <w:pPr>
        <w:widowControl/>
        <w:kinsoku w:val="0"/>
        <w:autoSpaceDE w:val="0"/>
        <w:autoSpaceDN w:val="0"/>
        <w:adjustRightInd w:val="0"/>
        <w:snapToGrid w:val="0"/>
        <w:spacing w:line="182" w:lineRule="exact"/>
        <w:jc w:val="left"/>
        <w:textAlignment w:val="baseline"/>
        <w:rPr>
          <w:rFonts w:ascii="宋体" w:cs="Arial"/>
          <w:snapToGrid w:val="0"/>
          <w:color w:val="000000"/>
          <w:kern w:val="0"/>
          <w:szCs w:val="21"/>
        </w:rPr>
      </w:pPr>
    </w:p>
    <w:tbl>
      <w:tblPr>
        <w:tblStyle w:val="42"/>
        <w:tblW w:w="84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3"/>
        <w:gridCol w:w="1738"/>
        <w:gridCol w:w="5149"/>
        <w:gridCol w:w="10"/>
      </w:tblGrid>
      <w:tr w14:paraId="4EC9E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754" w:hRule="atLeast"/>
          <w:jc w:val="center"/>
        </w:trPr>
        <w:tc>
          <w:tcPr>
            <w:tcW w:w="1593" w:type="dxa"/>
          </w:tcPr>
          <w:p w14:paraId="7E7B00BC">
            <w:pPr>
              <w:widowControl/>
              <w:kinsoku w:val="0"/>
              <w:autoSpaceDE w:val="0"/>
              <w:autoSpaceDN w:val="0"/>
              <w:adjustRightInd w:val="0"/>
              <w:snapToGrid w:val="0"/>
              <w:spacing w:before="153" w:line="218" w:lineRule="auto"/>
              <w:ind w:left="474"/>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第二节</w:t>
            </w:r>
          </w:p>
          <w:p w14:paraId="665CEC59">
            <w:pPr>
              <w:widowControl/>
              <w:kinsoku w:val="0"/>
              <w:autoSpaceDE w:val="0"/>
              <w:autoSpaceDN w:val="0"/>
              <w:adjustRightInd w:val="0"/>
              <w:snapToGrid w:val="0"/>
              <w:spacing w:before="30" w:line="218" w:lineRule="auto"/>
              <w:ind w:left="135"/>
              <w:jc w:val="left"/>
              <w:textAlignment w:val="baseline"/>
              <w:rPr>
                <w:rFonts w:ascii="宋体" w:cs="宋体"/>
                <w:snapToGrid w:val="0"/>
                <w:color w:val="000000"/>
                <w:kern w:val="0"/>
                <w:szCs w:val="21"/>
                <w:lang w:eastAsia="en-US"/>
              </w:rPr>
            </w:pPr>
            <w:r>
              <w:rPr>
                <w:rFonts w:ascii="宋体" w:cs="宋体"/>
                <w:snapToGrid w:val="0"/>
                <w:color w:val="000000"/>
                <w:spacing w:val="20"/>
                <w:kern w:val="0"/>
                <w:szCs w:val="21"/>
                <w:lang w:eastAsia="en-US"/>
              </w:rPr>
              <w:t>第1</w:t>
            </w:r>
            <w:r>
              <w:rPr>
                <w:rFonts w:ascii="宋体" w:cs="宋体"/>
                <w:snapToGrid w:val="0"/>
                <w:color w:val="000000"/>
                <w:spacing w:val="-53"/>
                <w:kern w:val="0"/>
                <w:szCs w:val="21"/>
                <w:lang w:eastAsia="en-US"/>
              </w:rPr>
              <w:t xml:space="preserve"> </w:t>
            </w:r>
            <w:r>
              <w:rPr>
                <w:rFonts w:ascii="宋体" w:cs="宋体"/>
                <w:snapToGrid w:val="0"/>
                <w:color w:val="000000"/>
                <w:spacing w:val="20"/>
                <w:kern w:val="0"/>
                <w:szCs w:val="21"/>
                <w:lang w:eastAsia="en-US"/>
              </w:rPr>
              <w:t>.</w:t>
            </w:r>
            <w:r>
              <w:rPr>
                <w:rFonts w:ascii="宋体" w:cs="宋体"/>
                <w:snapToGrid w:val="0"/>
                <w:color w:val="000000"/>
                <w:spacing w:val="-56"/>
                <w:kern w:val="0"/>
                <w:szCs w:val="21"/>
                <w:lang w:eastAsia="en-US"/>
              </w:rPr>
              <w:t xml:space="preserve"> </w:t>
            </w:r>
            <w:r>
              <w:rPr>
                <w:rFonts w:ascii="宋体" w:cs="宋体"/>
                <w:snapToGrid w:val="0"/>
                <w:color w:val="000000"/>
                <w:spacing w:val="20"/>
                <w:kern w:val="0"/>
                <w:szCs w:val="21"/>
                <w:lang w:eastAsia="en-US"/>
              </w:rPr>
              <w:t>2(6)项</w:t>
            </w:r>
          </w:p>
        </w:tc>
        <w:tc>
          <w:tcPr>
            <w:tcW w:w="1738" w:type="dxa"/>
          </w:tcPr>
          <w:p w14:paraId="5B504194">
            <w:pPr>
              <w:widowControl/>
              <w:kinsoku w:val="0"/>
              <w:autoSpaceDE w:val="0"/>
              <w:autoSpaceDN w:val="0"/>
              <w:adjustRightInd w:val="0"/>
              <w:snapToGrid w:val="0"/>
              <w:spacing w:before="274" w:line="221" w:lineRule="auto"/>
              <w:ind w:left="122"/>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联合体具体要求</w:t>
            </w:r>
          </w:p>
        </w:tc>
        <w:tc>
          <w:tcPr>
            <w:tcW w:w="5149" w:type="dxa"/>
          </w:tcPr>
          <w:p w14:paraId="2AB66265">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476F6F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610" w:hRule="atLeast"/>
          <w:jc w:val="center"/>
        </w:trPr>
        <w:tc>
          <w:tcPr>
            <w:tcW w:w="1593" w:type="dxa"/>
          </w:tcPr>
          <w:p w14:paraId="20021A2C">
            <w:pPr>
              <w:widowControl/>
              <w:kinsoku w:val="0"/>
              <w:autoSpaceDE w:val="0"/>
              <w:autoSpaceDN w:val="0"/>
              <w:adjustRightInd w:val="0"/>
              <w:snapToGrid w:val="0"/>
              <w:spacing w:before="59" w:line="218" w:lineRule="auto"/>
              <w:ind w:left="474"/>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第二节</w:t>
            </w:r>
          </w:p>
          <w:p w14:paraId="1DD12D45">
            <w:pPr>
              <w:widowControl/>
              <w:kinsoku w:val="0"/>
              <w:autoSpaceDE w:val="0"/>
              <w:autoSpaceDN w:val="0"/>
              <w:adjustRightInd w:val="0"/>
              <w:snapToGrid w:val="0"/>
              <w:spacing w:before="20" w:line="218" w:lineRule="auto"/>
              <w:ind w:left="135"/>
              <w:jc w:val="left"/>
              <w:textAlignment w:val="baseline"/>
              <w:rPr>
                <w:rFonts w:ascii="宋体" w:cs="宋体"/>
                <w:snapToGrid w:val="0"/>
                <w:color w:val="000000"/>
                <w:kern w:val="0"/>
                <w:szCs w:val="21"/>
                <w:lang w:eastAsia="en-US"/>
              </w:rPr>
            </w:pPr>
            <w:r>
              <w:rPr>
                <w:rFonts w:ascii="宋体" w:cs="宋体"/>
                <w:snapToGrid w:val="0"/>
                <w:color w:val="000000"/>
                <w:spacing w:val="20"/>
                <w:kern w:val="0"/>
                <w:szCs w:val="21"/>
                <w:lang w:eastAsia="en-US"/>
              </w:rPr>
              <w:t>第1</w:t>
            </w:r>
            <w:r>
              <w:rPr>
                <w:rFonts w:ascii="宋体" w:cs="宋体"/>
                <w:snapToGrid w:val="0"/>
                <w:color w:val="000000"/>
                <w:spacing w:val="-53"/>
                <w:kern w:val="0"/>
                <w:szCs w:val="21"/>
                <w:lang w:eastAsia="en-US"/>
              </w:rPr>
              <w:t xml:space="preserve"> </w:t>
            </w:r>
            <w:r>
              <w:rPr>
                <w:rFonts w:ascii="宋体" w:cs="宋体"/>
                <w:snapToGrid w:val="0"/>
                <w:color w:val="000000"/>
                <w:spacing w:val="20"/>
                <w:kern w:val="0"/>
                <w:szCs w:val="21"/>
                <w:lang w:eastAsia="en-US"/>
              </w:rPr>
              <w:t>.</w:t>
            </w:r>
            <w:r>
              <w:rPr>
                <w:rFonts w:ascii="宋体" w:cs="宋体"/>
                <w:snapToGrid w:val="0"/>
                <w:color w:val="000000"/>
                <w:spacing w:val="-56"/>
                <w:kern w:val="0"/>
                <w:szCs w:val="21"/>
                <w:lang w:eastAsia="en-US"/>
              </w:rPr>
              <w:t xml:space="preserve"> </w:t>
            </w:r>
            <w:r>
              <w:rPr>
                <w:rFonts w:ascii="宋体" w:cs="宋体"/>
                <w:snapToGrid w:val="0"/>
                <w:color w:val="000000"/>
                <w:spacing w:val="20"/>
                <w:kern w:val="0"/>
                <w:szCs w:val="21"/>
                <w:lang w:eastAsia="en-US"/>
              </w:rPr>
              <w:t>2(7)项</w:t>
            </w:r>
          </w:p>
        </w:tc>
        <w:tc>
          <w:tcPr>
            <w:tcW w:w="1738" w:type="dxa"/>
          </w:tcPr>
          <w:p w14:paraId="6F895AAB">
            <w:pPr>
              <w:widowControl/>
              <w:kinsoku w:val="0"/>
              <w:autoSpaceDE w:val="0"/>
              <w:autoSpaceDN w:val="0"/>
              <w:adjustRightInd w:val="0"/>
              <w:snapToGrid w:val="0"/>
              <w:spacing w:before="199" w:line="218" w:lineRule="auto"/>
              <w:ind w:left="122"/>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其他术语解释</w:t>
            </w:r>
          </w:p>
        </w:tc>
        <w:tc>
          <w:tcPr>
            <w:tcW w:w="5149" w:type="dxa"/>
          </w:tcPr>
          <w:p w14:paraId="122C6E34">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72F5A2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819" w:hRule="atLeast"/>
          <w:jc w:val="center"/>
        </w:trPr>
        <w:tc>
          <w:tcPr>
            <w:tcW w:w="1593" w:type="dxa"/>
          </w:tcPr>
          <w:p w14:paraId="3B861088">
            <w:pPr>
              <w:widowControl/>
              <w:kinsoku w:val="0"/>
              <w:autoSpaceDE w:val="0"/>
              <w:autoSpaceDN w:val="0"/>
              <w:adjustRightInd w:val="0"/>
              <w:snapToGrid w:val="0"/>
              <w:spacing w:before="179" w:line="238" w:lineRule="auto"/>
              <w:ind w:left="474"/>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第二节</w:t>
            </w:r>
          </w:p>
          <w:p w14:paraId="56CD4BE0">
            <w:pPr>
              <w:widowControl/>
              <w:kinsoku w:val="0"/>
              <w:autoSpaceDE w:val="0"/>
              <w:autoSpaceDN w:val="0"/>
              <w:adjustRightInd w:val="0"/>
              <w:snapToGrid w:val="0"/>
              <w:spacing w:line="218" w:lineRule="auto"/>
              <w:ind w:left="41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第4.4款</w:t>
            </w:r>
          </w:p>
        </w:tc>
        <w:tc>
          <w:tcPr>
            <w:tcW w:w="1738" w:type="dxa"/>
          </w:tcPr>
          <w:p w14:paraId="48B8D430">
            <w:pPr>
              <w:widowControl/>
              <w:kinsoku w:val="0"/>
              <w:autoSpaceDE w:val="0"/>
              <w:autoSpaceDN w:val="0"/>
              <w:adjustRightInd w:val="0"/>
              <w:snapToGrid w:val="0"/>
              <w:spacing w:before="48" w:line="223" w:lineRule="auto"/>
              <w:ind w:left="112" w:right="120" w:firstLine="10"/>
              <w:textAlignment w:val="baseline"/>
              <w:rPr>
                <w:rFonts w:ascii="宋体" w:cs="宋体"/>
                <w:snapToGrid w:val="0"/>
                <w:color w:val="000000"/>
                <w:kern w:val="0"/>
                <w:szCs w:val="21"/>
              </w:rPr>
            </w:pPr>
            <w:r>
              <w:rPr>
                <w:rFonts w:ascii="宋体" w:cs="宋体"/>
                <w:snapToGrid w:val="0"/>
                <w:color w:val="000000"/>
                <w:spacing w:val="-2"/>
                <w:kern w:val="0"/>
                <w:szCs w:val="21"/>
              </w:rPr>
              <w:t>履约验收中甲方</w:t>
            </w:r>
            <w:r>
              <w:rPr>
                <w:rFonts w:ascii="宋体" w:cs="宋体"/>
                <w:snapToGrid w:val="0"/>
                <w:color w:val="000000"/>
                <w:spacing w:val="1"/>
                <w:kern w:val="0"/>
                <w:szCs w:val="21"/>
              </w:rPr>
              <w:t xml:space="preserve"> </w:t>
            </w:r>
            <w:r>
              <w:rPr>
                <w:rFonts w:ascii="宋体" w:cs="宋体"/>
                <w:snapToGrid w:val="0"/>
                <w:color w:val="000000"/>
                <w:spacing w:val="3"/>
                <w:kern w:val="0"/>
                <w:szCs w:val="21"/>
              </w:rPr>
              <w:t xml:space="preserve">提出异议或作出 </w:t>
            </w:r>
            <w:r>
              <w:rPr>
                <w:rFonts w:ascii="宋体" w:cs="宋体"/>
                <w:snapToGrid w:val="0"/>
                <w:color w:val="000000"/>
                <w:spacing w:val="4"/>
                <w:kern w:val="0"/>
                <w:szCs w:val="21"/>
              </w:rPr>
              <w:t>说明的期限</w:t>
            </w:r>
          </w:p>
        </w:tc>
        <w:tc>
          <w:tcPr>
            <w:tcW w:w="5149" w:type="dxa"/>
          </w:tcPr>
          <w:p w14:paraId="2AEF88B8">
            <w:pPr>
              <w:widowControl/>
              <w:kinsoku w:val="0"/>
              <w:autoSpaceDE w:val="0"/>
              <w:autoSpaceDN w:val="0"/>
              <w:adjustRightInd w:val="0"/>
              <w:snapToGrid w:val="0"/>
              <w:jc w:val="left"/>
              <w:textAlignment w:val="baseline"/>
              <w:rPr>
                <w:rFonts w:ascii="宋体" w:cs="Arial"/>
                <w:snapToGrid w:val="0"/>
                <w:color w:val="000000"/>
                <w:kern w:val="0"/>
                <w:szCs w:val="21"/>
              </w:rPr>
            </w:pPr>
          </w:p>
        </w:tc>
      </w:tr>
      <w:tr w14:paraId="56AD69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740" w:hRule="atLeast"/>
          <w:jc w:val="center"/>
        </w:trPr>
        <w:tc>
          <w:tcPr>
            <w:tcW w:w="1593" w:type="dxa"/>
          </w:tcPr>
          <w:p w14:paraId="7A2D4565">
            <w:pPr>
              <w:widowControl/>
              <w:kinsoku w:val="0"/>
              <w:autoSpaceDE w:val="0"/>
              <w:autoSpaceDN w:val="0"/>
              <w:adjustRightInd w:val="0"/>
              <w:snapToGrid w:val="0"/>
              <w:spacing w:before="140" w:line="280" w:lineRule="exact"/>
              <w:ind w:left="474"/>
              <w:jc w:val="left"/>
              <w:textAlignment w:val="baseline"/>
              <w:rPr>
                <w:rFonts w:ascii="宋体" w:cs="宋体"/>
                <w:snapToGrid w:val="0"/>
                <w:color w:val="000000"/>
                <w:kern w:val="0"/>
                <w:szCs w:val="21"/>
                <w:lang w:eastAsia="en-US"/>
              </w:rPr>
            </w:pPr>
            <w:r>
              <w:rPr>
                <w:rFonts w:ascii="宋体" w:cs="宋体"/>
                <w:snapToGrid w:val="0"/>
                <w:color w:val="000000"/>
                <w:spacing w:val="-2"/>
                <w:kern w:val="0"/>
                <w:position w:val="4"/>
                <w:szCs w:val="21"/>
                <w:lang w:eastAsia="en-US"/>
              </w:rPr>
              <w:t>第二节</w:t>
            </w:r>
          </w:p>
          <w:p w14:paraId="42FA87CE">
            <w:pPr>
              <w:widowControl/>
              <w:kinsoku w:val="0"/>
              <w:autoSpaceDE w:val="0"/>
              <w:autoSpaceDN w:val="0"/>
              <w:adjustRightInd w:val="0"/>
              <w:snapToGrid w:val="0"/>
              <w:spacing w:line="218" w:lineRule="auto"/>
              <w:ind w:left="41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第4.6款</w:t>
            </w:r>
          </w:p>
        </w:tc>
        <w:tc>
          <w:tcPr>
            <w:tcW w:w="1738" w:type="dxa"/>
          </w:tcPr>
          <w:p w14:paraId="51CAD281">
            <w:pPr>
              <w:widowControl/>
              <w:kinsoku w:val="0"/>
              <w:autoSpaceDE w:val="0"/>
              <w:autoSpaceDN w:val="0"/>
              <w:adjustRightInd w:val="0"/>
              <w:snapToGrid w:val="0"/>
              <w:spacing w:before="149" w:line="233" w:lineRule="auto"/>
              <w:ind w:left="122" w:right="119"/>
              <w:jc w:val="left"/>
              <w:textAlignment w:val="baseline"/>
              <w:rPr>
                <w:rFonts w:ascii="宋体" w:cs="宋体"/>
                <w:snapToGrid w:val="0"/>
                <w:color w:val="000000"/>
                <w:kern w:val="0"/>
                <w:szCs w:val="21"/>
              </w:rPr>
            </w:pPr>
            <w:r>
              <w:rPr>
                <w:rFonts w:ascii="宋体" w:cs="宋体"/>
                <w:snapToGrid w:val="0"/>
                <w:color w:val="000000"/>
                <w:spacing w:val="2"/>
                <w:kern w:val="0"/>
                <w:szCs w:val="21"/>
              </w:rPr>
              <w:t>约定甲方承担的</w:t>
            </w:r>
            <w:r>
              <w:rPr>
                <w:rFonts w:ascii="宋体" w:cs="宋体"/>
                <w:snapToGrid w:val="0"/>
                <w:color w:val="000000"/>
                <w:spacing w:val="1"/>
                <w:kern w:val="0"/>
                <w:szCs w:val="21"/>
              </w:rPr>
              <w:t xml:space="preserve"> </w:t>
            </w:r>
            <w:r>
              <w:rPr>
                <w:rFonts w:ascii="宋体" w:cs="宋体"/>
                <w:snapToGrid w:val="0"/>
                <w:color w:val="000000"/>
                <w:spacing w:val="-2"/>
                <w:kern w:val="0"/>
                <w:szCs w:val="21"/>
              </w:rPr>
              <w:t>其他义务和责任</w:t>
            </w:r>
          </w:p>
        </w:tc>
        <w:tc>
          <w:tcPr>
            <w:tcW w:w="5149" w:type="dxa"/>
          </w:tcPr>
          <w:p w14:paraId="557B0131">
            <w:pPr>
              <w:widowControl/>
              <w:kinsoku w:val="0"/>
              <w:autoSpaceDE w:val="0"/>
              <w:autoSpaceDN w:val="0"/>
              <w:adjustRightInd w:val="0"/>
              <w:snapToGrid w:val="0"/>
              <w:jc w:val="left"/>
              <w:textAlignment w:val="baseline"/>
              <w:rPr>
                <w:rFonts w:ascii="宋体" w:cs="Arial"/>
                <w:snapToGrid w:val="0"/>
                <w:color w:val="000000"/>
                <w:kern w:val="0"/>
                <w:szCs w:val="21"/>
              </w:rPr>
            </w:pPr>
          </w:p>
        </w:tc>
      </w:tr>
      <w:tr w14:paraId="59ECA3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739" w:hRule="atLeast"/>
          <w:jc w:val="center"/>
        </w:trPr>
        <w:tc>
          <w:tcPr>
            <w:tcW w:w="1593" w:type="dxa"/>
          </w:tcPr>
          <w:p w14:paraId="303E5AFF">
            <w:pPr>
              <w:widowControl/>
              <w:kinsoku w:val="0"/>
              <w:autoSpaceDE w:val="0"/>
              <w:autoSpaceDN w:val="0"/>
              <w:adjustRightInd w:val="0"/>
              <w:snapToGrid w:val="0"/>
              <w:spacing w:before="140" w:line="238" w:lineRule="auto"/>
              <w:ind w:left="474"/>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第二节</w:t>
            </w:r>
          </w:p>
          <w:p w14:paraId="56C6331D">
            <w:pPr>
              <w:widowControl/>
              <w:kinsoku w:val="0"/>
              <w:autoSpaceDE w:val="0"/>
              <w:autoSpaceDN w:val="0"/>
              <w:adjustRightInd w:val="0"/>
              <w:snapToGrid w:val="0"/>
              <w:spacing w:line="218" w:lineRule="auto"/>
              <w:ind w:left="41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第5.4款</w:t>
            </w:r>
          </w:p>
        </w:tc>
        <w:tc>
          <w:tcPr>
            <w:tcW w:w="1738" w:type="dxa"/>
          </w:tcPr>
          <w:p w14:paraId="7D6F19F6">
            <w:pPr>
              <w:widowControl/>
              <w:kinsoku w:val="0"/>
              <w:autoSpaceDE w:val="0"/>
              <w:autoSpaceDN w:val="0"/>
              <w:adjustRightInd w:val="0"/>
              <w:snapToGrid w:val="0"/>
              <w:spacing w:before="151" w:line="228" w:lineRule="auto"/>
              <w:ind w:left="122" w:right="119"/>
              <w:jc w:val="left"/>
              <w:textAlignment w:val="baseline"/>
              <w:rPr>
                <w:rFonts w:ascii="宋体" w:cs="宋体"/>
                <w:snapToGrid w:val="0"/>
                <w:color w:val="000000"/>
                <w:kern w:val="0"/>
                <w:szCs w:val="21"/>
              </w:rPr>
            </w:pPr>
            <w:r>
              <w:rPr>
                <w:rFonts w:ascii="宋体" w:cs="宋体"/>
                <w:snapToGrid w:val="0"/>
                <w:color w:val="000000"/>
                <w:spacing w:val="2"/>
                <w:kern w:val="0"/>
                <w:szCs w:val="21"/>
              </w:rPr>
              <w:t>约定乙方承担的</w:t>
            </w:r>
            <w:r>
              <w:rPr>
                <w:rFonts w:ascii="宋体" w:cs="宋体"/>
                <w:snapToGrid w:val="0"/>
                <w:color w:val="000000"/>
                <w:spacing w:val="1"/>
                <w:kern w:val="0"/>
                <w:szCs w:val="21"/>
              </w:rPr>
              <w:t xml:space="preserve"> </w:t>
            </w:r>
            <w:r>
              <w:rPr>
                <w:rFonts w:ascii="宋体" w:cs="宋体"/>
                <w:snapToGrid w:val="0"/>
                <w:color w:val="000000"/>
                <w:spacing w:val="-2"/>
                <w:kern w:val="0"/>
                <w:szCs w:val="21"/>
              </w:rPr>
              <w:t>其他义务和责任</w:t>
            </w:r>
          </w:p>
        </w:tc>
        <w:tc>
          <w:tcPr>
            <w:tcW w:w="5149" w:type="dxa"/>
          </w:tcPr>
          <w:p w14:paraId="1FD02765">
            <w:pPr>
              <w:widowControl/>
              <w:kinsoku w:val="0"/>
              <w:autoSpaceDE w:val="0"/>
              <w:autoSpaceDN w:val="0"/>
              <w:adjustRightInd w:val="0"/>
              <w:snapToGrid w:val="0"/>
              <w:jc w:val="left"/>
              <w:textAlignment w:val="baseline"/>
              <w:rPr>
                <w:rFonts w:ascii="宋体" w:cs="Arial"/>
                <w:snapToGrid w:val="0"/>
                <w:color w:val="000000"/>
                <w:kern w:val="0"/>
                <w:szCs w:val="21"/>
              </w:rPr>
            </w:pPr>
          </w:p>
        </w:tc>
      </w:tr>
      <w:tr w14:paraId="254432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740" w:hRule="atLeast"/>
          <w:jc w:val="center"/>
        </w:trPr>
        <w:tc>
          <w:tcPr>
            <w:tcW w:w="1593" w:type="dxa"/>
          </w:tcPr>
          <w:p w14:paraId="75E99F35">
            <w:pPr>
              <w:widowControl/>
              <w:kinsoku w:val="0"/>
              <w:autoSpaceDE w:val="0"/>
              <w:autoSpaceDN w:val="0"/>
              <w:adjustRightInd w:val="0"/>
              <w:snapToGrid w:val="0"/>
              <w:spacing w:before="161" w:line="211" w:lineRule="auto"/>
              <w:ind w:left="474"/>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第二节</w:t>
            </w:r>
          </w:p>
          <w:p w14:paraId="28C294B3">
            <w:pPr>
              <w:widowControl/>
              <w:kinsoku w:val="0"/>
              <w:autoSpaceDE w:val="0"/>
              <w:autoSpaceDN w:val="0"/>
              <w:adjustRightInd w:val="0"/>
              <w:snapToGrid w:val="0"/>
              <w:spacing w:line="218" w:lineRule="auto"/>
              <w:ind w:left="41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第6.1款</w:t>
            </w:r>
          </w:p>
        </w:tc>
        <w:tc>
          <w:tcPr>
            <w:tcW w:w="1738" w:type="dxa"/>
          </w:tcPr>
          <w:p w14:paraId="3936A933">
            <w:pPr>
              <w:widowControl/>
              <w:kinsoku w:val="0"/>
              <w:autoSpaceDE w:val="0"/>
              <w:autoSpaceDN w:val="0"/>
              <w:adjustRightInd w:val="0"/>
              <w:snapToGrid w:val="0"/>
              <w:spacing w:before="162" w:line="221" w:lineRule="auto"/>
              <w:ind w:left="122" w:right="119"/>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履行合同义务的</w:t>
            </w:r>
            <w:r>
              <w:rPr>
                <w:rFonts w:ascii="宋体" w:cs="宋体"/>
                <w:snapToGrid w:val="0"/>
                <w:color w:val="000000"/>
                <w:spacing w:val="1"/>
                <w:kern w:val="0"/>
                <w:szCs w:val="21"/>
                <w:lang w:eastAsia="en-US"/>
              </w:rPr>
              <w:t xml:space="preserve"> </w:t>
            </w:r>
            <w:r>
              <w:rPr>
                <w:rFonts w:ascii="宋体" w:cs="宋体"/>
                <w:snapToGrid w:val="0"/>
                <w:color w:val="000000"/>
                <w:spacing w:val="6"/>
                <w:kern w:val="0"/>
                <w:szCs w:val="21"/>
                <w:lang w:eastAsia="en-US"/>
              </w:rPr>
              <w:t>顺序</w:t>
            </w:r>
          </w:p>
        </w:tc>
        <w:tc>
          <w:tcPr>
            <w:tcW w:w="5149" w:type="dxa"/>
          </w:tcPr>
          <w:p w14:paraId="7197BCF4">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7D0FCB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670" w:hRule="atLeast"/>
          <w:jc w:val="center"/>
        </w:trPr>
        <w:tc>
          <w:tcPr>
            <w:tcW w:w="1593" w:type="dxa"/>
            <w:vMerge w:val="restart"/>
            <w:tcBorders>
              <w:bottom w:val="nil"/>
            </w:tcBorders>
          </w:tcPr>
          <w:p w14:paraId="4618AEF6">
            <w:pPr>
              <w:widowControl/>
              <w:kinsoku w:val="0"/>
              <w:autoSpaceDE w:val="0"/>
              <w:autoSpaceDN w:val="0"/>
              <w:adjustRightInd w:val="0"/>
              <w:snapToGrid w:val="0"/>
              <w:spacing w:line="370" w:lineRule="auto"/>
              <w:jc w:val="left"/>
              <w:textAlignment w:val="baseline"/>
              <w:rPr>
                <w:rFonts w:ascii="宋体" w:cs="Arial"/>
                <w:snapToGrid w:val="0"/>
                <w:color w:val="000000"/>
                <w:kern w:val="0"/>
                <w:szCs w:val="21"/>
                <w:lang w:eastAsia="en-US"/>
              </w:rPr>
            </w:pPr>
          </w:p>
          <w:p w14:paraId="469E9DCB">
            <w:pPr>
              <w:widowControl/>
              <w:kinsoku w:val="0"/>
              <w:autoSpaceDE w:val="0"/>
              <w:autoSpaceDN w:val="0"/>
              <w:adjustRightInd w:val="0"/>
              <w:snapToGrid w:val="0"/>
              <w:spacing w:before="69" w:line="280" w:lineRule="exact"/>
              <w:ind w:left="474"/>
              <w:jc w:val="left"/>
              <w:textAlignment w:val="baseline"/>
              <w:rPr>
                <w:rFonts w:ascii="宋体" w:cs="宋体"/>
                <w:snapToGrid w:val="0"/>
                <w:color w:val="000000"/>
                <w:kern w:val="0"/>
                <w:szCs w:val="21"/>
                <w:lang w:eastAsia="en-US"/>
              </w:rPr>
            </w:pPr>
            <w:r>
              <w:rPr>
                <w:rFonts w:ascii="宋体" w:cs="宋体"/>
                <w:snapToGrid w:val="0"/>
                <w:color w:val="000000"/>
                <w:spacing w:val="-2"/>
                <w:kern w:val="0"/>
                <w:position w:val="4"/>
                <w:szCs w:val="21"/>
                <w:lang w:eastAsia="en-US"/>
              </w:rPr>
              <w:t>第二节</w:t>
            </w:r>
          </w:p>
          <w:p w14:paraId="70EC502D">
            <w:pPr>
              <w:widowControl/>
              <w:kinsoku w:val="0"/>
              <w:autoSpaceDE w:val="0"/>
              <w:autoSpaceDN w:val="0"/>
              <w:adjustRightInd w:val="0"/>
              <w:snapToGrid w:val="0"/>
              <w:spacing w:line="218" w:lineRule="auto"/>
              <w:ind w:left="41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第7.1款</w:t>
            </w:r>
          </w:p>
        </w:tc>
        <w:tc>
          <w:tcPr>
            <w:tcW w:w="1738" w:type="dxa"/>
          </w:tcPr>
          <w:p w14:paraId="7E3BDDF3">
            <w:pPr>
              <w:widowControl/>
              <w:kinsoku w:val="0"/>
              <w:autoSpaceDE w:val="0"/>
              <w:autoSpaceDN w:val="0"/>
              <w:adjustRightInd w:val="0"/>
              <w:snapToGrid w:val="0"/>
              <w:spacing w:before="231" w:line="218" w:lineRule="auto"/>
              <w:ind w:left="122"/>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包装特殊要求</w:t>
            </w:r>
          </w:p>
        </w:tc>
        <w:tc>
          <w:tcPr>
            <w:tcW w:w="5149" w:type="dxa"/>
          </w:tcPr>
          <w:p w14:paraId="4E31F96C">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7EE036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669" w:hRule="atLeast"/>
          <w:jc w:val="center"/>
        </w:trPr>
        <w:tc>
          <w:tcPr>
            <w:tcW w:w="1593" w:type="dxa"/>
            <w:vMerge w:val="continue"/>
            <w:tcBorders>
              <w:top w:val="nil"/>
            </w:tcBorders>
          </w:tcPr>
          <w:p w14:paraId="1C76FB23"/>
        </w:tc>
        <w:tc>
          <w:tcPr>
            <w:tcW w:w="1738" w:type="dxa"/>
          </w:tcPr>
          <w:p w14:paraId="6642D48E">
            <w:pPr>
              <w:widowControl/>
              <w:kinsoku w:val="0"/>
              <w:autoSpaceDE w:val="0"/>
              <w:autoSpaceDN w:val="0"/>
              <w:adjustRightInd w:val="0"/>
              <w:snapToGrid w:val="0"/>
              <w:spacing w:before="232" w:line="221" w:lineRule="auto"/>
              <w:ind w:left="122"/>
              <w:jc w:val="left"/>
              <w:textAlignment w:val="baseline"/>
              <w:rPr>
                <w:rFonts w:ascii="宋体" w:cs="宋体"/>
                <w:snapToGrid w:val="0"/>
                <w:color w:val="000000"/>
                <w:kern w:val="0"/>
                <w:szCs w:val="21"/>
                <w:lang w:eastAsia="en-US"/>
              </w:rPr>
            </w:pPr>
            <w:r>
              <w:rPr>
                <w:rFonts w:ascii="宋体" w:cs="宋体"/>
                <w:snapToGrid w:val="0"/>
                <w:color w:val="000000"/>
                <w:spacing w:val="3"/>
                <w:kern w:val="0"/>
                <w:szCs w:val="21"/>
                <w:lang w:eastAsia="en-US"/>
              </w:rPr>
              <w:t>指定现场</w:t>
            </w:r>
          </w:p>
        </w:tc>
        <w:tc>
          <w:tcPr>
            <w:tcW w:w="5149" w:type="dxa"/>
          </w:tcPr>
          <w:p w14:paraId="6976D27D">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7A800A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789" w:hRule="atLeast"/>
          <w:jc w:val="center"/>
        </w:trPr>
        <w:tc>
          <w:tcPr>
            <w:tcW w:w="1593" w:type="dxa"/>
          </w:tcPr>
          <w:p w14:paraId="054718B4">
            <w:pPr>
              <w:widowControl/>
              <w:kinsoku w:val="0"/>
              <w:autoSpaceDE w:val="0"/>
              <w:autoSpaceDN w:val="0"/>
              <w:adjustRightInd w:val="0"/>
              <w:snapToGrid w:val="0"/>
              <w:spacing w:before="182" w:line="221" w:lineRule="auto"/>
              <w:ind w:left="474"/>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第二节</w:t>
            </w:r>
          </w:p>
          <w:p w14:paraId="0D445EA5">
            <w:pPr>
              <w:widowControl/>
              <w:kinsoku w:val="0"/>
              <w:autoSpaceDE w:val="0"/>
              <w:autoSpaceDN w:val="0"/>
              <w:adjustRightInd w:val="0"/>
              <w:snapToGrid w:val="0"/>
              <w:spacing w:line="218" w:lineRule="auto"/>
              <w:ind w:left="41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第7.2款</w:t>
            </w:r>
          </w:p>
        </w:tc>
        <w:tc>
          <w:tcPr>
            <w:tcW w:w="1738" w:type="dxa"/>
          </w:tcPr>
          <w:p w14:paraId="7A978175">
            <w:pPr>
              <w:widowControl/>
              <w:kinsoku w:val="0"/>
              <w:autoSpaceDE w:val="0"/>
              <w:autoSpaceDN w:val="0"/>
              <w:adjustRightInd w:val="0"/>
              <w:snapToGrid w:val="0"/>
              <w:spacing w:before="292" w:line="218" w:lineRule="auto"/>
              <w:ind w:left="122"/>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运输特殊要求</w:t>
            </w:r>
          </w:p>
        </w:tc>
        <w:tc>
          <w:tcPr>
            <w:tcW w:w="5149" w:type="dxa"/>
          </w:tcPr>
          <w:p w14:paraId="0D986795">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16D46A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669" w:hRule="atLeast"/>
          <w:jc w:val="center"/>
        </w:trPr>
        <w:tc>
          <w:tcPr>
            <w:tcW w:w="1593" w:type="dxa"/>
          </w:tcPr>
          <w:p w14:paraId="12CD691E">
            <w:pPr>
              <w:widowControl/>
              <w:kinsoku w:val="0"/>
              <w:autoSpaceDE w:val="0"/>
              <w:autoSpaceDN w:val="0"/>
              <w:adjustRightInd w:val="0"/>
              <w:snapToGrid w:val="0"/>
              <w:spacing w:before="103" w:line="238" w:lineRule="auto"/>
              <w:ind w:left="474"/>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第二节</w:t>
            </w:r>
          </w:p>
          <w:p w14:paraId="35E43914">
            <w:pPr>
              <w:widowControl/>
              <w:kinsoku w:val="0"/>
              <w:autoSpaceDE w:val="0"/>
              <w:autoSpaceDN w:val="0"/>
              <w:adjustRightInd w:val="0"/>
              <w:snapToGrid w:val="0"/>
              <w:spacing w:line="218" w:lineRule="auto"/>
              <w:ind w:left="41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第7.3款</w:t>
            </w:r>
          </w:p>
        </w:tc>
        <w:tc>
          <w:tcPr>
            <w:tcW w:w="1738" w:type="dxa"/>
          </w:tcPr>
          <w:p w14:paraId="7AB74FFB">
            <w:pPr>
              <w:widowControl/>
              <w:kinsoku w:val="0"/>
              <w:autoSpaceDE w:val="0"/>
              <w:autoSpaceDN w:val="0"/>
              <w:adjustRightInd w:val="0"/>
              <w:snapToGrid w:val="0"/>
              <w:spacing w:before="234" w:line="221" w:lineRule="auto"/>
              <w:ind w:left="122"/>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保险要求</w:t>
            </w:r>
          </w:p>
        </w:tc>
        <w:tc>
          <w:tcPr>
            <w:tcW w:w="5149" w:type="dxa"/>
          </w:tcPr>
          <w:p w14:paraId="237B1929">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00AFC5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729" w:hRule="atLeast"/>
          <w:jc w:val="center"/>
        </w:trPr>
        <w:tc>
          <w:tcPr>
            <w:tcW w:w="1593" w:type="dxa"/>
          </w:tcPr>
          <w:p w14:paraId="4F6640CD">
            <w:pPr>
              <w:widowControl/>
              <w:kinsoku w:val="0"/>
              <w:autoSpaceDE w:val="0"/>
              <w:autoSpaceDN w:val="0"/>
              <w:adjustRightInd w:val="0"/>
              <w:snapToGrid w:val="0"/>
              <w:spacing w:before="124" w:line="218" w:lineRule="auto"/>
              <w:ind w:left="474"/>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第二节</w:t>
            </w:r>
          </w:p>
          <w:p w14:paraId="576C8D33">
            <w:pPr>
              <w:widowControl/>
              <w:kinsoku w:val="0"/>
              <w:autoSpaceDE w:val="0"/>
              <w:autoSpaceDN w:val="0"/>
              <w:adjustRightInd w:val="0"/>
              <w:snapToGrid w:val="0"/>
              <w:spacing w:before="60" w:line="218" w:lineRule="auto"/>
              <w:ind w:left="135"/>
              <w:jc w:val="left"/>
              <w:textAlignment w:val="baseline"/>
              <w:rPr>
                <w:rFonts w:ascii="宋体" w:cs="宋体"/>
                <w:snapToGrid w:val="0"/>
                <w:color w:val="000000"/>
                <w:kern w:val="0"/>
                <w:szCs w:val="21"/>
                <w:lang w:eastAsia="en-US"/>
              </w:rPr>
            </w:pPr>
            <w:r>
              <w:rPr>
                <w:rFonts w:ascii="宋体" w:cs="宋体"/>
                <w:snapToGrid w:val="0"/>
                <w:color w:val="000000"/>
                <w:spacing w:val="20"/>
                <w:kern w:val="0"/>
                <w:szCs w:val="21"/>
                <w:lang w:eastAsia="en-US"/>
              </w:rPr>
              <w:t>第8</w:t>
            </w:r>
            <w:r>
              <w:rPr>
                <w:rFonts w:ascii="宋体" w:cs="宋体"/>
                <w:snapToGrid w:val="0"/>
                <w:color w:val="000000"/>
                <w:spacing w:val="-53"/>
                <w:kern w:val="0"/>
                <w:szCs w:val="21"/>
                <w:lang w:eastAsia="en-US"/>
              </w:rPr>
              <w:t xml:space="preserve"> </w:t>
            </w:r>
            <w:r>
              <w:rPr>
                <w:rFonts w:ascii="宋体" w:cs="宋体"/>
                <w:snapToGrid w:val="0"/>
                <w:color w:val="000000"/>
                <w:spacing w:val="20"/>
                <w:kern w:val="0"/>
                <w:szCs w:val="21"/>
                <w:lang w:eastAsia="en-US"/>
              </w:rPr>
              <w:t>.</w:t>
            </w:r>
            <w:r>
              <w:rPr>
                <w:rFonts w:ascii="宋体" w:cs="宋体"/>
                <w:snapToGrid w:val="0"/>
                <w:color w:val="000000"/>
                <w:spacing w:val="-56"/>
                <w:kern w:val="0"/>
                <w:szCs w:val="21"/>
                <w:lang w:eastAsia="en-US"/>
              </w:rPr>
              <w:t xml:space="preserve"> </w:t>
            </w:r>
            <w:r>
              <w:rPr>
                <w:rFonts w:ascii="宋体" w:cs="宋体"/>
                <w:snapToGrid w:val="0"/>
                <w:color w:val="000000"/>
                <w:spacing w:val="20"/>
                <w:kern w:val="0"/>
                <w:szCs w:val="21"/>
                <w:lang w:eastAsia="en-US"/>
              </w:rPr>
              <w:t>2(1)项</w:t>
            </w:r>
          </w:p>
        </w:tc>
        <w:tc>
          <w:tcPr>
            <w:tcW w:w="1738" w:type="dxa"/>
          </w:tcPr>
          <w:p w14:paraId="1C45BA75">
            <w:pPr>
              <w:widowControl/>
              <w:kinsoku w:val="0"/>
              <w:autoSpaceDE w:val="0"/>
              <w:autoSpaceDN w:val="0"/>
              <w:adjustRightInd w:val="0"/>
              <w:snapToGrid w:val="0"/>
              <w:spacing w:before="265" w:line="221" w:lineRule="auto"/>
              <w:ind w:left="122"/>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质量保证期</w:t>
            </w:r>
          </w:p>
        </w:tc>
        <w:tc>
          <w:tcPr>
            <w:tcW w:w="5149" w:type="dxa"/>
          </w:tcPr>
          <w:p w14:paraId="77784961">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688635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750" w:hRule="atLeast"/>
          <w:jc w:val="center"/>
        </w:trPr>
        <w:tc>
          <w:tcPr>
            <w:tcW w:w="1593" w:type="dxa"/>
          </w:tcPr>
          <w:p w14:paraId="5B51F442">
            <w:pPr>
              <w:widowControl/>
              <w:kinsoku w:val="0"/>
              <w:autoSpaceDE w:val="0"/>
              <w:autoSpaceDN w:val="0"/>
              <w:adjustRightInd w:val="0"/>
              <w:snapToGrid w:val="0"/>
              <w:spacing w:before="165" w:line="218" w:lineRule="auto"/>
              <w:ind w:left="474"/>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第二节</w:t>
            </w:r>
          </w:p>
          <w:p w14:paraId="40C39F36">
            <w:pPr>
              <w:widowControl/>
              <w:kinsoku w:val="0"/>
              <w:autoSpaceDE w:val="0"/>
              <w:autoSpaceDN w:val="0"/>
              <w:adjustRightInd w:val="0"/>
              <w:snapToGrid w:val="0"/>
              <w:spacing w:before="30" w:line="218" w:lineRule="auto"/>
              <w:ind w:left="125"/>
              <w:jc w:val="left"/>
              <w:textAlignment w:val="baseline"/>
              <w:rPr>
                <w:rFonts w:ascii="宋体" w:cs="宋体"/>
                <w:snapToGrid w:val="0"/>
                <w:color w:val="000000"/>
                <w:kern w:val="0"/>
                <w:szCs w:val="21"/>
                <w:lang w:eastAsia="en-US"/>
              </w:rPr>
            </w:pPr>
            <w:r>
              <w:rPr>
                <w:rFonts w:ascii="宋体" w:cs="宋体"/>
                <w:snapToGrid w:val="0"/>
                <w:color w:val="000000"/>
                <w:spacing w:val="21"/>
                <w:kern w:val="0"/>
                <w:szCs w:val="21"/>
                <w:lang w:eastAsia="en-US"/>
              </w:rPr>
              <w:t>第8</w:t>
            </w:r>
            <w:r>
              <w:rPr>
                <w:rFonts w:ascii="宋体" w:cs="宋体"/>
                <w:snapToGrid w:val="0"/>
                <w:color w:val="000000"/>
                <w:spacing w:val="-44"/>
                <w:kern w:val="0"/>
                <w:szCs w:val="21"/>
                <w:lang w:eastAsia="en-US"/>
              </w:rPr>
              <w:t xml:space="preserve"> </w:t>
            </w:r>
            <w:r>
              <w:rPr>
                <w:rFonts w:ascii="宋体" w:cs="宋体"/>
                <w:snapToGrid w:val="0"/>
                <w:color w:val="000000"/>
                <w:spacing w:val="21"/>
                <w:kern w:val="0"/>
                <w:szCs w:val="21"/>
                <w:lang w:eastAsia="en-US"/>
              </w:rPr>
              <w:t>.</w:t>
            </w:r>
            <w:r>
              <w:rPr>
                <w:rFonts w:ascii="宋体" w:cs="宋体"/>
                <w:snapToGrid w:val="0"/>
                <w:color w:val="000000"/>
                <w:spacing w:val="-52"/>
                <w:kern w:val="0"/>
                <w:szCs w:val="21"/>
                <w:lang w:eastAsia="en-US"/>
              </w:rPr>
              <w:t xml:space="preserve"> </w:t>
            </w:r>
            <w:r>
              <w:rPr>
                <w:rFonts w:ascii="宋体" w:cs="宋体"/>
                <w:snapToGrid w:val="0"/>
                <w:color w:val="000000"/>
                <w:spacing w:val="21"/>
                <w:kern w:val="0"/>
                <w:szCs w:val="21"/>
                <w:lang w:eastAsia="en-US"/>
              </w:rPr>
              <w:t>2(3)项</w:t>
            </w:r>
          </w:p>
        </w:tc>
        <w:tc>
          <w:tcPr>
            <w:tcW w:w="1738" w:type="dxa"/>
          </w:tcPr>
          <w:p w14:paraId="1D5359AC">
            <w:pPr>
              <w:widowControl/>
              <w:kinsoku w:val="0"/>
              <w:autoSpaceDE w:val="0"/>
              <w:autoSpaceDN w:val="0"/>
              <w:adjustRightInd w:val="0"/>
              <w:snapToGrid w:val="0"/>
              <w:spacing w:before="185" w:line="226" w:lineRule="auto"/>
              <w:ind w:left="122" w:right="329"/>
              <w:jc w:val="left"/>
              <w:textAlignment w:val="baseline"/>
              <w:rPr>
                <w:rFonts w:ascii="宋体" w:cs="宋体"/>
                <w:snapToGrid w:val="0"/>
                <w:color w:val="000000"/>
                <w:kern w:val="0"/>
                <w:szCs w:val="21"/>
              </w:rPr>
            </w:pPr>
            <w:r>
              <w:rPr>
                <w:rFonts w:ascii="宋体" w:cs="宋体"/>
                <w:snapToGrid w:val="0"/>
                <w:color w:val="000000"/>
                <w:spacing w:val="2"/>
                <w:kern w:val="0"/>
                <w:szCs w:val="21"/>
              </w:rPr>
              <w:t>货物质量缺陷</w:t>
            </w:r>
            <w:r>
              <w:rPr>
                <w:rFonts w:ascii="宋体" w:cs="宋体"/>
                <w:snapToGrid w:val="0"/>
                <w:color w:val="000000"/>
                <w:spacing w:val="3"/>
                <w:kern w:val="0"/>
                <w:szCs w:val="21"/>
              </w:rPr>
              <w:t xml:space="preserve"> </w:t>
            </w:r>
            <w:r>
              <w:rPr>
                <w:rFonts w:ascii="宋体" w:cs="宋体"/>
                <w:snapToGrid w:val="0"/>
                <w:color w:val="000000"/>
                <w:spacing w:val="5"/>
                <w:kern w:val="0"/>
                <w:szCs w:val="21"/>
              </w:rPr>
              <w:t>响应时间</w:t>
            </w:r>
          </w:p>
        </w:tc>
        <w:tc>
          <w:tcPr>
            <w:tcW w:w="5149" w:type="dxa"/>
          </w:tcPr>
          <w:p w14:paraId="669786DD">
            <w:pPr>
              <w:widowControl/>
              <w:kinsoku w:val="0"/>
              <w:autoSpaceDE w:val="0"/>
              <w:autoSpaceDN w:val="0"/>
              <w:adjustRightInd w:val="0"/>
              <w:snapToGrid w:val="0"/>
              <w:jc w:val="left"/>
              <w:textAlignment w:val="baseline"/>
              <w:rPr>
                <w:rFonts w:ascii="宋体" w:cs="Arial"/>
                <w:snapToGrid w:val="0"/>
                <w:color w:val="000000"/>
                <w:kern w:val="0"/>
                <w:szCs w:val="21"/>
              </w:rPr>
            </w:pPr>
          </w:p>
        </w:tc>
      </w:tr>
      <w:tr w14:paraId="41E2A5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739" w:hRule="atLeast"/>
          <w:jc w:val="center"/>
        </w:trPr>
        <w:tc>
          <w:tcPr>
            <w:tcW w:w="1593" w:type="dxa"/>
          </w:tcPr>
          <w:p w14:paraId="7944EBFB">
            <w:pPr>
              <w:widowControl/>
              <w:kinsoku w:val="0"/>
              <w:autoSpaceDE w:val="0"/>
              <w:autoSpaceDN w:val="0"/>
              <w:adjustRightInd w:val="0"/>
              <w:snapToGrid w:val="0"/>
              <w:spacing w:before="85" w:line="380" w:lineRule="exact"/>
              <w:ind w:left="474"/>
              <w:jc w:val="left"/>
              <w:textAlignment w:val="baseline"/>
              <w:rPr>
                <w:rFonts w:ascii="宋体" w:cs="宋体"/>
                <w:snapToGrid w:val="0"/>
                <w:color w:val="000000"/>
                <w:kern w:val="0"/>
                <w:szCs w:val="21"/>
                <w:lang w:eastAsia="en-US"/>
              </w:rPr>
            </w:pPr>
            <w:r>
              <w:rPr>
                <w:rFonts w:ascii="宋体" w:cs="宋体"/>
                <w:snapToGrid w:val="0"/>
                <w:color w:val="000000"/>
                <w:spacing w:val="-2"/>
                <w:kern w:val="0"/>
                <w:position w:val="12"/>
                <w:szCs w:val="21"/>
                <w:lang w:eastAsia="en-US"/>
              </w:rPr>
              <w:t>第二节</w:t>
            </w:r>
          </w:p>
          <w:p w14:paraId="7786C412">
            <w:pPr>
              <w:widowControl/>
              <w:kinsoku w:val="0"/>
              <w:autoSpaceDE w:val="0"/>
              <w:autoSpaceDN w:val="0"/>
              <w:adjustRightInd w:val="0"/>
              <w:snapToGrid w:val="0"/>
              <w:spacing w:line="218" w:lineRule="auto"/>
              <w:ind w:left="36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第11.1款</w:t>
            </w:r>
          </w:p>
        </w:tc>
        <w:tc>
          <w:tcPr>
            <w:tcW w:w="1738" w:type="dxa"/>
          </w:tcPr>
          <w:p w14:paraId="747D049F">
            <w:pPr>
              <w:widowControl/>
              <w:kinsoku w:val="0"/>
              <w:autoSpaceDE w:val="0"/>
              <w:autoSpaceDN w:val="0"/>
              <w:adjustRightInd w:val="0"/>
              <w:snapToGrid w:val="0"/>
              <w:spacing w:before="155" w:line="216" w:lineRule="auto"/>
              <w:ind w:left="122" w:right="119"/>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其他应当保密的</w:t>
            </w:r>
            <w:r>
              <w:rPr>
                <w:rFonts w:ascii="宋体" w:cs="宋体"/>
                <w:snapToGrid w:val="0"/>
                <w:color w:val="000000"/>
                <w:spacing w:val="1"/>
                <w:kern w:val="0"/>
                <w:szCs w:val="21"/>
                <w:lang w:eastAsia="en-US"/>
              </w:rPr>
              <w:t xml:space="preserve"> </w:t>
            </w:r>
            <w:r>
              <w:rPr>
                <w:rFonts w:ascii="宋体" w:cs="宋体"/>
                <w:snapToGrid w:val="0"/>
                <w:color w:val="000000"/>
                <w:spacing w:val="7"/>
                <w:kern w:val="0"/>
                <w:szCs w:val="21"/>
                <w:lang w:eastAsia="en-US"/>
              </w:rPr>
              <w:t>信息</w:t>
            </w:r>
          </w:p>
        </w:tc>
        <w:tc>
          <w:tcPr>
            <w:tcW w:w="5149" w:type="dxa"/>
          </w:tcPr>
          <w:p w14:paraId="6447B99B">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28A66E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700" w:hRule="atLeast"/>
          <w:jc w:val="center"/>
        </w:trPr>
        <w:tc>
          <w:tcPr>
            <w:tcW w:w="1593" w:type="dxa"/>
          </w:tcPr>
          <w:p w14:paraId="5634560F">
            <w:pPr>
              <w:widowControl/>
              <w:kinsoku w:val="0"/>
              <w:autoSpaceDE w:val="0"/>
              <w:autoSpaceDN w:val="0"/>
              <w:adjustRightInd w:val="0"/>
              <w:snapToGrid w:val="0"/>
              <w:spacing w:before="116" w:line="280" w:lineRule="exact"/>
              <w:ind w:left="474"/>
              <w:jc w:val="left"/>
              <w:textAlignment w:val="baseline"/>
              <w:rPr>
                <w:rFonts w:ascii="宋体" w:cs="宋体"/>
                <w:snapToGrid w:val="0"/>
                <w:color w:val="000000"/>
                <w:kern w:val="0"/>
                <w:szCs w:val="21"/>
                <w:lang w:eastAsia="en-US"/>
              </w:rPr>
            </w:pPr>
            <w:r>
              <w:rPr>
                <w:rFonts w:ascii="宋体" w:cs="宋体"/>
                <w:snapToGrid w:val="0"/>
                <w:color w:val="000000"/>
                <w:spacing w:val="-2"/>
                <w:kern w:val="0"/>
                <w:position w:val="4"/>
                <w:szCs w:val="21"/>
                <w:lang w:eastAsia="en-US"/>
              </w:rPr>
              <w:t>第二节</w:t>
            </w:r>
          </w:p>
          <w:p w14:paraId="18F14C13">
            <w:pPr>
              <w:widowControl/>
              <w:kinsoku w:val="0"/>
              <w:autoSpaceDE w:val="0"/>
              <w:autoSpaceDN w:val="0"/>
              <w:adjustRightInd w:val="0"/>
              <w:snapToGrid w:val="0"/>
              <w:spacing w:line="218" w:lineRule="auto"/>
              <w:ind w:left="36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第12.2款</w:t>
            </w:r>
          </w:p>
        </w:tc>
        <w:tc>
          <w:tcPr>
            <w:tcW w:w="1738" w:type="dxa"/>
          </w:tcPr>
          <w:p w14:paraId="42FEB533">
            <w:pPr>
              <w:widowControl/>
              <w:kinsoku w:val="0"/>
              <w:autoSpaceDE w:val="0"/>
              <w:autoSpaceDN w:val="0"/>
              <w:adjustRightInd w:val="0"/>
              <w:snapToGrid w:val="0"/>
              <w:spacing w:before="113" w:line="228" w:lineRule="auto"/>
              <w:ind w:left="122" w:right="123"/>
              <w:jc w:val="left"/>
              <w:textAlignment w:val="baseline"/>
              <w:rPr>
                <w:rFonts w:ascii="宋体" w:cs="宋体"/>
                <w:snapToGrid w:val="0"/>
                <w:color w:val="000000"/>
                <w:kern w:val="0"/>
                <w:szCs w:val="21"/>
                <w:lang w:eastAsia="en-US"/>
              </w:rPr>
            </w:pPr>
            <w:r>
              <w:rPr>
                <w:rFonts w:ascii="宋体" w:cs="宋体"/>
                <w:snapToGrid w:val="0"/>
                <w:color w:val="000000"/>
                <w:spacing w:val="1"/>
                <w:kern w:val="0"/>
                <w:szCs w:val="21"/>
                <w:lang w:eastAsia="en-US"/>
              </w:rPr>
              <w:t>合同价款支付时</w:t>
            </w:r>
            <w:r>
              <w:rPr>
                <w:rFonts w:ascii="宋体" w:cs="宋体"/>
                <w:snapToGrid w:val="0"/>
                <w:color w:val="000000"/>
                <w:spacing w:val="4"/>
                <w:kern w:val="0"/>
                <w:szCs w:val="21"/>
                <w:lang w:eastAsia="en-US"/>
              </w:rPr>
              <w:t xml:space="preserve"> </w:t>
            </w:r>
            <w:r>
              <w:rPr>
                <w:rFonts w:ascii="宋体" w:cs="宋体"/>
                <w:snapToGrid w:val="0"/>
                <w:color w:val="000000"/>
                <w:kern w:val="0"/>
                <w:szCs w:val="21"/>
                <w:lang w:eastAsia="en-US"/>
              </w:rPr>
              <w:t>间</w:t>
            </w:r>
          </w:p>
        </w:tc>
        <w:tc>
          <w:tcPr>
            <w:tcW w:w="5149" w:type="dxa"/>
          </w:tcPr>
          <w:p w14:paraId="2DAF065B">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0478C3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709" w:hRule="atLeast"/>
          <w:jc w:val="center"/>
        </w:trPr>
        <w:tc>
          <w:tcPr>
            <w:tcW w:w="1593" w:type="dxa"/>
          </w:tcPr>
          <w:p w14:paraId="336A33BC">
            <w:pPr>
              <w:widowControl/>
              <w:kinsoku w:val="0"/>
              <w:autoSpaceDE w:val="0"/>
              <w:autoSpaceDN w:val="0"/>
              <w:adjustRightInd w:val="0"/>
              <w:snapToGrid w:val="0"/>
              <w:spacing w:before="145" w:line="228" w:lineRule="auto"/>
              <w:ind w:left="474"/>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第二节</w:t>
            </w:r>
          </w:p>
          <w:p w14:paraId="4322C9C2">
            <w:pPr>
              <w:widowControl/>
              <w:kinsoku w:val="0"/>
              <w:autoSpaceDE w:val="0"/>
              <w:autoSpaceDN w:val="0"/>
              <w:adjustRightInd w:val="0"/>
              <w:snapToGrid w:val="0"/>
              <w:spacing w:line="218" w:lineRule="auto"/>
              <w:ind w:left="36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第13.2款</w:t>
            </w:r>
          </w:p>
        </w:tc>
        <w:tc>
          <w:tcPr>
            <w:tcW w:w="1738" w:type="dxa"/>
          </w:tcPr>
          <w:p w14:paraId="74FB5E3E">
            <w:pPr>
              <w:widowControl/>
              <w:kinsoku w:val="0"/>
              <w:autoSpaceDE w:val="0"/>
              <w:autoSpaceDN w:val="0"/>
              <w:adjustRightInd w:val="0"/>
              <w:snapToGrid w:val="0"/>
              <w:spacing w:before="147" w:line="223" w:lineRule="auto"/>
              <w:ind w:left="122" w:right="123"/>
              <w:jc w:val="left"/>
              <w:textAlignment w:val="baseline"/>
              <w:rPr>
                <w:rFonts w:ascii="宋体" w:cs="宋体"/>
                <w:snapToGrid w:val="0"/>
                <w:color w:val="000000"/>
                <w:kern w:val="0"/>
                <w:szCs w:val="21"/>
              </w:rPr>
            </w:pPr>
            <w:r>
              <w:rPr>
                <w:rFonts w:ascii="宋体" w:cs="宋体"/>
                <w:snapToGrid w:val="0"/>
                <w:color w:val="000000"/>
                <w:spacing w:val="1"/>
                <w:kern w:val="0"/>
                <w:szCs w:val="21"/>
              </w:rPr>
              <w:t>履约保证金不予</w:t>
            </w:r>
            <w:r>
              <w:rPr>
                <w:rFonts w:ascii="宋体" w:cs="宋体"/>
                <w:snapToGrid w:val="0"/>
                <w:color w:val="000000"/>
                <w:spacing w:val="4"/>
                <w:kern w:val="0"/>
                <w:szCs w:val="21"/>
              </w:rPr>
              <w:t xml:space="preserve"> </w:t>
            </w:r>
            <w:r>
              <w:rPr>
                <w:rFonts w:ascii="宋体" w:cs="宋体"/>
                <w:snapToGrid w:val="0"/>
                <w:color w:val="000000"/>
                <w:spacing w:val="-2"/>
                <w:kern w:val="0"/>
                <w:szCs w:val="21"/>
              </w:rPr>
              <w:t>退还的情形</w:t>
            </w:r>
          </w:p>
        </w:tc>
        <w:tc>
          <w:tcPr>
            <w:tcW w:w="5149" w:type="dxa"/>
          </w:tcPr>
          <w:p w14:paraId="3DA97586">
            <w:pPr>
              <w:widowControl/>
              <w:kinsoku w:val="0"/>
              <w:autoSpaceDE w:val="0"/>
              <w:autoSpaceDN w:val="0"/>
              <w:adjustRightInd w:val="0"/>
              <w:snapToGrid w:val="0"/>
              <w:jc w:val="left"/>
              <w:textAlignment w:val="baseline"/>
              <w:rPr>
                <w:rFonts w:ascii="宋体" w:cs="Arial"/>
                <w:snapToGrid w:val="0"/>
                <w:color w:val="000000"/>
                <w:kern w:val="0"/>
                <w:szCs w:val="21"/>
              </w:rPr>
            </w:pPr>
          </w:p>
        </w:tc>
      </w:tr>
      <w:tr w14:paraId="233ED4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809" w:hRule="atLeast"/>
          <w:jc w:val="center"/>
        </w:trPr>
        <w:tc>
          <w:tcPr>
            <w:tcW w:w="1593" w:type="dxa"/>
          </w:tcPr>
          <w:p w14:paraId="0AC41C9D">
            <w:pPr>
              <w:widowControl/>
              <w:kinsoku w:val="0"/>
              <w:autoSpaceDE w:val="0"/>
              <w:autoSpaceDN w:val="0"/>
              <w:adjustRightInd w:val="0"/>
              <w:snapToGrid w:val="0"/>
              <w:spacing w:before="177" w:line="280" w:lineRule="exact"/>
              <w:ind w:left="474"/>
              <w:jc w:val="left"/>
              <w:textAlignment w:val="baseline"/>
              <w:rPr>
                <w:rFonts w:ascii="宋体" w:cs="宋体"/>
                <w:snapToGrid w:val="0"/>
                <w:color w:val="000000"/>
                <w:kern w:val="0"/>
                <w:szCs w:val="21"/>
                <w:lang w:eastAsia="en-US"/>
              </w:rPr>
            </w:pPr>
            <w:r>
              <w:rPr>
                <w:rFonts w:ascii="宋体" w:cs="宋体"/>
                <w:snapToGrid w:val="0"/>
                <w:color w:val="000000"/>
                <w:spacing w:val="-2"/>
                <w:kern w:val="0"/>
                <w:position w:val="4"/>
                <w:szCs w:val="21"/>
                <w:lang w:eastAsia="en-US"/>
              </w:rPr>
              <w:t>第二节</w:t>
            </w:r>
          </w:p>
          <w:p w14:paraId="7033D318">
            <w:pPr>
              <w:widowControl/>
              <w:kinsoku w:val="0"/>
              <w:autoSpaceDE w:val="0"/>
              <w:autoSpaceDN w:val="0"/>
              <w:adjustRightInd w:val="0"/>
              <w:snapToGrid w:val="0"/>
              <w:spacing w:line="218" w:lineRule="auto"/>
              <w:ind w:left="36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第13.3款</w:t>
            </w:r>
          </w:p>
        </w:tc>
        <w:tc>
          <w:tcPr>
            <w:tcW w:w="1738" w:type="dxa"/>
          </w:tcPr>
          <w:p w14:paraId="61C04D8A">
            <w:pPr>
              <w:widowControl/>
              <w:kinsoku w:val="0"/>
              <w:autoSpaceDE w:val="0"/>
              <w:autoSpaceDN w:val="0"/>
              <w:adjustRightInd w:val="0"/>
              <w:snapToGrid w:val="0"/>
              <w:spacing w:before="38" w:line="223" w:lineRule="auto"/>
              <w:ind w:left="122" w:right="126"/>
              <w:textAlignment w:val="baseline"/>
              <w:rPr>
                <w:rFonts w:ascii="宋体" w:cs="宋体"/>
                <w:snapToGrid w:val="0"/>
                <w:color w:val="000000"/>
                <w:kern w:val="0"/>
                <w:szCs w:val="21"/>
              </w:rPr>
            </w:pPr>
            <w:r>
              <w:rPr>
                <w:rFonts w:ascii="宋体" w:cs="宋体"/>
                <w:snapToGrid w:val="0"/>
                <w:color w:val="000000"/>
                <w:spacing w:val="1"/>
                <w:kern w:val="0"/>
                <w:szCs w:val="21"/>
              </w:rPr>
              <w:t>履约保证金退还</w:t>
            </w:r>
            <w:r>
              <w:rPr>
                <w:rFonts w:ascii="宋体" w:cs="宋体"/>
                <w:snapToGrid w:val="0"/>
                <w:color w:val="000000"/>
                <w:kern w:val="0"/>
                <w:szCs w:val="21"/>
              </w:rPr>
              <w:t xml:space="preserve"> </w:t>
            </w:r>
            <w:r>
              <w:rPr>
                <w:rFonts w:ascii="宋体" w:cs="宋体"/>
                <w:snapToGrid w:val="0"/>
                <w:color w:val="000000"/>
                <w:spacing w:val="1"/>
                <w:kern w:val="0"/>
                <w:szCs w:val="21"/>
              </w:rPr>
              <w:t>时间及逾期退还</w:t>
            </w:r>
            <w:r>
              <w:rPr>
                <w:rFonts w:ascii="宋体" w:cs="宋体"/>
                <w:snapToGrid w:val="0"/>
                <w:color w:val="000000"/>
                <w:kern w:val="0"/>
                <w:szCs w:val="21"/>
              </w:rPr>
              <w:t xml:space="preserve"> </w:t>
            </w:r>
            <w:r>
              <w:rPr>
                <w:rFonts w:ascii="宋体" w:cs="宋体"/>
                <w:snapToGrid w:val="0"/>
                <w:color w:val="000000"/>
                <w:spacing w:val="2"/>
                <w:kern w:val="0"/>
                <w:szCs w:val="21"/>
              </w:rPr>
              <w:t>的违约金</w:t>
            </w:r>
          </w:p>
        </w:tc>
        <w:tc>
          <w:tcPr>
            <w:tcW w:w="5149" w:type="dxa"/>
          </w:tcPr>
          <w:p w14:paraId="0F6C9E00">
            <w:pPr>
              <w:widowControl/>
              <w:kinsoku w:val="0"/>
              <w:autoSpaceDE w:val="0"/>
              <w:autoSpaceDN w:val="0"/>
              <w:adjustRightInd w:val="0"/>
              <w:snapToGrid w:val="0"/>
              <w:jc w:val="left"/>
              <w:textAlignment w:val="baseline"/>
              <w:rPr>
                <w:rFonts w:ascii="宋体" w:cs="Arial"/>
                <w:snapToGrid w:val="0"/>
                <w:color w:val="000000"/>
                <w:kern w:val="0"/>
                <w:szCs w:val="21"/>
              </w:rPr>
            </w:pPr>
          </w:p>
        </w:tc>
      </w:tr>
      <w:tr w14:paraId="3FA3D6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774" w:hRule="atLeast"/>
          <w:jc w:val="center"/>
        </w:trPr>
        <w:tc>
          <w:tcPr>
            <w:tcW w:w="1593" w:type="dxa"/>
          </w:tcPr>
          <w:p w14:paraId="26126896">
            <w:pPr>
              <w:widowControl/>
              <w:kinsoku w:val="0"/>
              <w:autoSpaceDE w:val="0"/>
              <w:autoSpaceDN w:val="0"/>
              <w:adjustRightInd w:val="0"/>
              <w:snapToGrid w:val="0"/>
              <w:spacing w:before="158" w:line="218" w:lineRule="auto"/>
              <w:ind w:left="474"/>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第二节</w:t>
            </w:r>
          </w:p>
          <w:p w14:paraId="4F71A929">
            <w:pPr>
              <w:widowControl/>
              <w:kinsoku w:val="0"/>
              <w:autoSpaceDE w:val="0"/>
              <w:autoSpaceDN w:val="0"/>
              <w:adjustRightInd w:val="0"/>
              <w:snapToGrid w:val="0"/>
              <w:spacing w:before="50" w:line="218" w:lineRule="auto"/>
              <w:ind w:left="95"/>
              <w:jc w:val="left"/>
              <w:textAlignment w:val="baseline"/>
              <w:rPr>
                <w:rFonts w:ascii="宋体" w:cs="宋体"/>
                <w:snapToGrid w:val="0"/>
                <w:color w:val="000000"/>
                <w:kern w:val="0"/>
                <w:szCs w:val="21"/>
                <w:lang w:eastAsia="en-US"/>
              </w:rPr>
            </w:pPr>
            <w:r>
              <w:rPr>
                <w:rFonts w:ascii="宋体" w:cs="宋体"/>
                <w:snapToGrid w:val="0"/>
                <w:color w:val="000000"/>
                <w:spacing w:val="15"/>
                <w:kern w:val="0"/>
                <w:szCs w:val="21"/>
                <w:lang w:eastAsia="en-US"/>
              </w:rPr>
              <w:t>第14</w:t>
            </w:r>
            <w:r>
              <w:rPr>
                <w:rFonts w:ascii="宋体" w:cs="宋体"/>
                <w:snapToGrid w:val="0"/>
                <w:color w:val="000000"/>
                <w:spacing w:val="-58"/>
                <w:kern w:val="0"/>
                <w:szCs w:val="21"/>
                <w:lang w:eastAsia="en-US"/>
              </w:rPr>
              <w:t xml:space="preserve"> </w:t>
            </w:r>
            <w:r>
              <w:rPr>
                <w:rFonts w:ascii="宋体" w:cs="宋体"/>
                <w:snapToGrid w:val="0"/>
                <w:color w:val="000000"/>
                <w:spacing w:val="15"/>
                <w:kern w:val="0"/>
                <w:szCs w:val="21"/>
                <w:lang w:eastAsia="en-US"/>
              </w:rPr>
              <w:t>.</w:t>
            </w:r>
            <w:r>
              <w:rPr>
                <w:rFonts w:ascii="宋体" w:cs="宋体"/>
                <w:snapToGrid w:val="0"/>
                <w:color w:val="000000"/>
                <w:spacing w:val="-50"/>
                <w:kern w:val="0"/>
                <w:szCs w:val="21"/>
                <w:lang w:eastAsia="en-US"/>
              </w:rPr>
              <w:t xml:space="preserve"> </w:t>
            </w:r>
            <w:r>
              <w:rPr>
                <w:rFonts w:ascii="宋体" w:cs="宋体"/>
                <w:snapToGrid w:val="0"/>
                <w:color w:val="000000"/>
                <w:spacing w:val="15"/>
                <w:kern w:val="0"/>
                <w:szCs w:val="21"/>
                <w:lang w:eastAsia="en-US"/>
              </w:rPr>
              <w:t>1(3)项</w:t>
            </w:r>
          </w:p>
        </w:tc>
        <w:tc>
          <w:tcPr>
            <w:tcW w:w="1738" w:type="dxa"/>
          </w:tcPr>
          <w:p w14:paraId="3D99F697">
            <w:pPr>
              <w:widowControl/>
              <w:kinsoku w:val="0"/>
              <w:autoSpaceDE w:val="0"/>
              <w:autoSpaceDN w:val="0"/>
              <w:adjustRightInd w:val="0"/>
              <w:snapToGrid w:val="0"/>
              <w:spacing w:before="159" w:line="233" w:lineRule="auto"/>
              <w:ind w:left="122" w:right="144"/>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运行监督、维修</w:t>
            </w:r>
            <w:r>
              <w:rPr>
                <w:rFonts w:ascii="宋体" w:cs="宋体"/>
                <w:snapToGrid w:val="0"/>
                <w:color w:val="000000"/>
                <w:spacing w:val="4"/>
                <w:kern w:val="0"/>
                <w:szCs w:val="21"/>
                <w:lang w:eastAsia="en-US"/>
              </w:rPr>
              <w:t xml:space="preserve"> </w:t>
            </w:r>
            <w:r>
              <w:rPr>
                <w:rFonts w:ascii="宋体" w:cs="宋体"/>
                <w:snapToGrid w:val="0"/>
                <w:color w:val="000000"/>
                <w:spacing w:val="5"/>
                <w:kern w:val="0"/>
                <w:szCs w:val="21"/>
                <w:lang w:eastAsia="en-US"/>
              </w:rPr>
              <w:t>期限</w:t>
            </w:r>
          </w:p>
        </w:tc>
        <w:tc>
          <w:tcPr>
            <w:tcW w:w="5149" w:type="dxa"/>
          </w:tcPr>
          <w:p w14:paraId="7F34C986">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63CB1E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jc w:val="center"/>
        </w:trPr>
        <w:tc>
          <w:tcPr>
            <w:tcW w:w="1593" w:type="dxa"/>
          </w:tcPr>
          <w:p w14:paraId="2F700B25">
            <w:pPr>
              <w:widowControl/>
              <w:kinsoku w:val="0"/>
              <w:autoSpaceDE w:val="0"/>
              <w:autoSpaceDN w:val="0"/>
              <w:adjustRightInd w:val="0"/>
              <w:snapToGrid w:val="0"/>
              <w:spacing w:before="163" w:line="218" w:lineRule="auto"/>
              <w:ind w:left="47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第二节</w:t>
            </w:r>
          </w:p>
          <w:p w14:paraId="6464424F">
            <w:pPr>
              <w:widowControl/>
              <w:kinsoku w:val="0"/>
              <w:autoSpaceDE w:val="0"/>
              <w:autoSpaceDN w:val="0"/>
              <w:adjustRightInd w:val="0"/>
              <w:snapToGrid w:val="0"/>
              <w:spacing w:before="30" w:line="218" w:lineRule="auto"/>
              <w:ind w:left="105"/>
              <w:jc w:val="left"/>
              <w:textAlignment w:val="baseline"/>
              <w:rPr>
                <w:rFonts w:ascii="宋体" w:cs="宋体"/>
                <w:snapToGrid w:val="0"/>
                <w:color w:val="000000"/>
                <w:kern w:val="0"/>
                <w:szCs w:val="21"/>
                <w:lang w:eastAsia="en-US"/>
              </w:rPr>
            </w:pPr>
            <w:r>
              <w:rPr>
                <w:rFonts w:ascii="宋体" w:cs="宋体"/>
                <w:snapToGrid w:val="0"/>
                <w:color w:val="000000"/>
                <w:spacing w:val="13"/>
                <w:kern w:val="0"/>
                <w:szCs w:val="21"/>
                <w:lang w:eastAsia="en-US"/>
              </w:rPr>
              <w:t>第14</w:t>
            </w:r>
            <w:r>
              <w:rPr>
                <w:rFonts w:ascii="宋体" w:cs="宋体"/>
                <w:snapToGrid w:val="0"/>
                <w:color w:val="000000"/>
                <w:spacing w:val="-57"/>
                <w:kern w:val="0"/>
                <w:szCs w:val="21"/>
                <w:lang w:eastAsia="en-US"/>
              </w:rPr>
              <w:t xml:space="preserve"> </w:t>
            </w:r>
            <w:r>
              <w:rPr>
                <w:rFonts w:ascii="宋体" w:cs="宋体"/>
                <w:snapToGrid w:val="0"/>
                <w:color w:val="000000"/>
                <w:spacing w:val="13"/>
                <w:kern w:val="0"/>
                <w:szCs w:val="21"/>
                <w:lang w:eastAsia="en-US"/>
              </w:rPr>
              <w:t>.</w:t>
            </w:r>
            <w:r>
              <w:rPr>
                <w:rFonts w:ascii="宋体" w:cs="宋体"/>
                <w:snapToGrid w:val="0"/>
                <w:color w:val="000000"/>
                <w:spacing w:val="-53"/>
                <w:kern w:val="0"/>
                <w:szCs w:val="21"/>
                <w:lang w:eastAsia="en-US"/>
              </w:rPr>
              <w:t xml:space="preserve"> </w:t>
            </w:r>
            <w:r>
              <w:rPr>
                <w:rFonts w:ascii="宋体" w:cs="宋体"/>
                <w:snapToGrid w:val="0"/>
                <w:color w:val="000000"/>
                <w:spacing w:val="13"/>
                <w:kern w:val="0"/>
                <w:szCs w:val="21"/>
                <w:lang w:eastAsia="en-US"/>
              </w:rPr>
              <w:t>1(5)项</w:t>
            </w:r>
          </w:p>
        </w:tc>
        <w:tc>
          <w:tcPr>
            <w:tcW w:w="1738" w:type="dxa"/>
          </w:tcPr>
          <w:p w14:paraId="0DE01078">
            <w:pPr>
              <w:widowControl/>
              <w:kinsoku w:val="0"/>
              <w:autoSpaceDE w:val="0"/>
              <w:autoSpaceDN w:val="0"/>
              <w:adjustRightInd w:val="0"/>
              <w:snapToGrid w:val="0"/>
              <w:spacing w:before="292" w:line="218" w:lineRule="auto"/>
              <w:ind w:left="122"/>
              <w:jc w:val="left"/>
              <w:textAlignment w:val="baseline"/>
              <w:rPr>
                <w:rFonts w:ascii="宋体" w:cs="宋体"/>
                <w:snapToGrid w:val="0"/>
                <w:color w:val="000000"/>
                <w:kern w:val="0"/>
                <w:szCs w:val="21"/>
                <w:lang w:eastAsia="en-US"/>
              </w:rPr>
            </w:pPr>
            <w:r>
              <w:rPr>
                <w:rFonts w:ascii="宋体" w:cs="宋体"/>
                <w:snapToGrid w:val="0"/>
                <w:color w:val="000000"/>
                <w:spacing w:val="1"/>
                <w:kern w:val="0"/>
                <w:szCs w:val="21"/>
                <w:lang w:eastAsia="en-US"/>
              </w:rPr>
              <w:t>货物回收的约定</w:t>
            </w:r>
          </w:p>
        </w:tc>
        <w:tc>
          <w:tcPr>
            <w:tcW w:w="5159" w:type="dxa"/>
            <w:gridSpan w:val="2"/>
          </w:tcPr>
          <w:p w14:paraId="50A9FEA6">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74804B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jc w:val="center"/>
        </w:trPr>
        <w:tc>
          <w:tcPr>
            <w:tcW w:w="1593" w:type="dxa"/>
          </w:tcPr>
          <w:p w14:paraId="04E93809">
            <w:pPr>
              <w:widowControl/>
              <w:kinsoku w:val="0"/>
              <w:autoSpaceDE w:val="0"/>
              <w:autoSpaceDN w:val="0"/>
              <w:adjustRightInd w:val="0"/>
              <w:snapToGrid w:val="0"/>
              <w:spacing w:before="129" w:line="218" w:lineRule="auto"/>
              <w:ind w:left="47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第二节</w:t>
            </w:r>
          </w:p>
          <w:p w14:paraId="0442B4CE">
            <w:pPr>
              <w:widowControl/>
              <w:kinsoku w:val="0"/>
              <w:autoSpaceDE w:val="0"/>
              <w:autoSpaceDN w:val="0"/>
              <w:adjustRightInd w:val="0"/>
              <w:snapToGrid w:val="0"/>
              <w:spacing w:before="50" w:line="218" w:lineRule="auto"/>
              <w:ind w:left="94"/>
              <w:jc w:val="left"/>
              <w:textAlignment w:val="baseline"/>
              <w:rPr>
                <w:rFonts w:ascii="宋体" w:cs="宋体"/>
                <w:snapToGrid w:val="0"/>
                <w:color w:val="000000"/>
                <w:kern w:val="0"/>
                <w:szCs w:val="21"/>
                <w:lang w:eastAsia="en-US"/>
              </w:rPr>
            </w:pPr>
            <w:r>
              <w:rPr>
                <w:rFonts w:ascii="宋体" w:cs="宋体"/>
                <w:snapToGrid w:val="0"/>
                <w:color w:val="000000"/>
                <w:spacing w:val="15"/>
                <w:kern w:val="0"/>
                <w:szCs w:val="21"/>
                <w:lang w:eastAsia="en-US"/>
              </w:rPr>
              <w:t>第14</w:t>
            </w:r>
            <w:r>
              <w:rPr>
                <w:rFonts w:ascii="宋体" w:cs="宋体"/>
                <w:snapToGrid w:val="0"/>
                <w:color w:val="000000"/>
                <w:spacing w:val="-58"/>
                <w:kern w:val="0"/>
                <w:szCs w:val="21"/>
                <w:lang w:eastAsia="en-US"/>
              </w:rPr>
              <w:t xml:space="preserve"> </w:t>
            </w:r>
            <w:r>
              <w:rPr>
                <w:rFonts w:ascii="宋体" w:cs="宋体"/>
                <w:snapToGrid w:val="0"/>
                <w:color w:val="000000"/>
                <w:spacing w:val="15"/>
                <w:kern w:val="0"/>
                <w:szCs w:val="21"/>
                <w:lang w:eastAsia="en-US"/>
              </w:rPr>
              <w:t>.</w:t>
            </w:r>
            <w:r>
              <w:rPr>
                <w:rFonts w:ascii="宋体" w:cs="宋体"/>
                <w:snapToGrid w:val="0"/>
                <w:color w:val="000000"/>
                <w:spacing w:val="-50"/>
                <w:kern w:val="0"/>
                <w:szCs w:val="21"/>
                <w:lang w:eastAsia="en-US"/>
              </w:rPr>
              <w:t xml:space="preserve"> </w:t>
            </w:r>
            <w:r>
              <w:rPr>
                <w:rFonts w:ascii="宋体" w:cs="宋体"/>
                <w:snapToGrid w:val="0"/>
                <w:color w:val="000000"/>
                <w:spacing w:val="15"/>
                <w:kern w:val="0"/>
                <w:szCs w:val="21"/>
                <w:lang w:eastAsia="en-US"/>
              </w:rPr>
              <w:t>1(6)项</w:t>
            </w:r>
          </w:p>
        </w:tc>
        <w:tc>
          <w:tcPr>
            <w:tcW w:w="1738" w:type="dxa"/>
          </w:tcPr>
          <w:p w14:paraId="1A5E6FD1">
            <w:pPr>
              <w:widowControl/>
              <w:kinsoku w:val="0"/>
              <w:autoSpaceDE w:val="0"/>
              <w:autoSpaceDN w:val="0"/>
              <w:adjustRightInd w:val="0"/>
              <w:snapToGrid w:val="0"/>
              <w:spacing w:before="148" w:line="233" w:lineRule="auto"/>
              <w:ind w:left="112" w:right="127" w:firstLine="9"/>
              <w:jc w:val="left"/>
              <w:textAlignment w:val="baseline"/>
              <w:rPr>
                <w:rFonts w:ascii="宋体" w:cs="宋体"/>
                <w:snapToGrid w:val="0"/>
                <w:color w:val="000000"/>
                <w:kern w:val="0"/>
                <w:szCs w:val="21"/>
                <w:lang w:eastAsia="en-US"/>
              </w:rPr>
            </w:pPr>
            <w:r>
              <w:rPr>
                <w:rFonts w:ascii="宋体" w:cs="宋体"/>
                <w:snapToGrid w:val="0"/>
                <w:color w:val="000000"/>
                <w:spacing w:val="1"/>
                <w:kern w:val="0"/>
                <w:szCs w:val="21"/>
                <w:lang w:eastAsia="en-US"/>
              </w:rPr>
              <w:t>乙方提供的其他</w:t>
            </w:r>
            <w:r>
              <w:rPr>
                <w:rFonts w:ascii="宋体" w:cs="宋体"/>
                <w:snapToGrid w:val="0"/>
                <w:color w:val="000000"/>
                <w:kern w:val="0"/>
                <w:szCs w:val="21"/>
                <w:lang w:eastAsia="en-US"/>
              </w:rPr>
              <w:t xml:space="preserve"> </w:t>
            </w:r>
            <w:r>
              <w:rPr>
                <w:rFonts w:ascii="宋体" w:cs="宋体"/>
                <w:snapToGrid w:val="0"/>
                <w:color w:val="000000"/>
                <w:spacing w:val="-3"/>
                <w:kern w:val="0"/>
                <w:szCs w:val="21"/>
                <w:lang w:eastAsia="en-US"/>
              </w:rPr>
              <w:t>服务</w:t>
            </w:r>
          </w:p>
        </w:tc>
        <w:tc>
          <w:tcPr>
            <w:tcW w:w="5159" w:type="dxa"/>
            <w:gridSpan w:val="2"/>
          </w:tcPr>
          <w:p w14:paraId="46D2D09E">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0CB1F4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006BC748">
            <w:pPr>
              <w:widowControl/>
              <w:kinsoku w:val="0"/>
              <w:autoSpaceDE w:val="0"/>
              <w:autoSpaceDN w:val="0"/>
              <w:adjustRightInd w:val="0"/>
              <w:snapToGrid w:val="0"/>
              <w:spacing w:before="160" w:line="238" w:lineRule="auto"/>
              <w:ind w:left="47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第二节</w:t>
            </w:r>
          </w:p>
          <w:p w14:paraId="3CBE377D">
            <w:pPr>
              <w:widowControl/>
              <w:kinsoku w:val="0"/>
              <w:autoSpaceDE w:val="0"/>
              <w:autoSpaceDN w:val="0"/>
              <w:adjustRightInd w:val="0"/>
              <w:snapToGrid w:val="0"/>
              <w:spacing w:line="218" w:lineRule="auto"/>
              <w:ind w:left="36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第15.1款</w:t>
            </w:r>
          </w:p>
        </w:tc>
        <w:tc>
          <w:tcPr>
            <w:tcW w:w="1738" w:type="dxa"/>
          </w:tcPr>
          <w:p w14:paraId="410A5CE3">
            <w:pPr>
              <w:widowControl/>
              <w:kinsoku w:val="0"/>
              <w:autoSpaceDE w:val="0"/>
              <w:autoSpaceDN w:val="0"/>
              <w:adjustRightInd w:val="0"/>
              <w:snapToGrid w:val="0"/>
              <w:spacing w:before="161" w:line="233" w:lineRule="auto"/>
              <w:ind w:left="122" w:right="122"/>
              <w:jc w:val="left"/>
              <w:textAlignment w:val="baseline"/>
              <w:rPr>
                <w:rFonts w:ascii="宋体" w:cs="宋体"/>
                <w:snapToGrid w:val="0"/>
                <w:color w:val="000000"/>
                <w:kern w:val="0"/>
                <w:szCs w:val="21"/>
              </w:rPr>
            </w:pPr>
            <w:r>
              <w:rPr>
                <w:rFonts w:ascii="宋体" w:cs="宋体"/>
                <w:snapToGrid w:val="0"/>
                <w:color w:val="000000"/>
                <w:spacing w:val="-2"/>
                <w:kern w:val="0"/>
                <w:szCs w:val="21"/>
              </w:rPr>
              <w:t>修理、重作、更</w:t>
            </w:r>
            <w:r>
              <w:rPr>
                <w:rFonts w:ascii="宋体" w:cs="宋体"/>
                <w:snapToGrid w:val="0"/>
                <w:color w:val="000000"/>
                <w:spacing w:val="4"/>
                <w:kern w:val="0"/>
                <w:szCs w:val="21"/>
              </w:rPr>
              <w:t xml:space="preserve"> </w:t>
            </w:r>
            <w:r>
              <w:rPr>
                <w:rFonts w:ascii="宋体" w:cs="宋体"/>
                <w:snapToGrid w:val="0"/>
                <w:color w:val="000000"/>
                <w:spacing w:val="1"/>
                <w:kern w:val="0"/>
                <w:szCs w:val="21"/>
              </w:rPr>
              <w:t>换相关具体规定</w:t>
            </w:r>
          </w:p>
        </w:tc>
        <w:tc>
          <w:tcPr>
            <w:tcW w:w="5159" w:type="dxa"/>
            <w:gridSpan w:val="2"/>
          </w:tcPr>
          <w:p w14:paraId="66811DE7">
            <w:pPr>
              <w:widowControl/>
              <w:kinsoku w:val="0"/>
              <w:autoSpaceDE w:val="0"/>
              <w:autoSpaceDN w:val="0"/>
              <w:adjustRightInd w:val="0"/>
              <w:snapToGrid w:val="0"/>
              <w:jc w:val="left"/>
              <w:textAlignment w:val="baseline"/>
              <w:rPr>
                <w:rFonts w:ascii="宋体" w:cs="Arial"/>
                <w:snapToGrid w:val="0"/>
                <w:color w:val="000000"/>
                <w:kern w:val="0"/>
                <w:szCs w:val="21"/>
              </w:rPr>
            </w:pPr>
          </w:p>
        </w:tc>
      </w:tr>
      <w:tr w14:paraId="1422B1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1593" w:type="dxa"/>
          </w:tcPr>
          <w:p w14:paraId="372ADB06">
            <w:pPr>
              <w:widowControl/>
              <w:kinsoku w:val="0"/>
              <w:autoSpaceDE w:val="0"/>
              <w:autoSpaceDN w:val="0"/>
              <w:adjustRightInd w:val="0"/>
              <w:snapToGrid w:val="0"/>
              <w:spacing w:before="151" w:line="218" w:lineRule="auto"/>
              <w:ind w:left="47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第二节</w:t>
            </w:r>
          </w:p>
          <w:p w14:paraId="54E0592C">
            <w:pPr>
              <w:widowControl/>
              <w:kinsoku w:val="0"/>
              <w:autoSpaceDE w:val="0"/>
              <w:autoSpaceDN w:val="0"/>
              <w:adjustRightInd w:val="0"/>
              <w:snapToGrid w:val="0"/>
              <w:spacing w:before="30" w:line="218" w:lineRule="auto"/>
              <w:ind w:left="85"/>
              <w:jc w:val="left"/>
              <w:textAlignment w:val="baseline"/>
              <w:rPr>
                <w:rFonts w:ascii="宋体" w:cs="宋体"/>
                <w:snapToGrid w:val="0"/>
                <w:color w:val="000000"/>
                <w:kern w:val="0"/>
                <w:szCs w:val="21"/>
                <w:lang w:eastAsia="en-US"/>
              </w:rPr>
            </w:pPr>
            <w:r>
              <w:rPr>
                <w:rFonts w:ascii="宋体" w:cs="宋体"/>
                <w:snapToGrid w:val="0"/>
                <w:color w:val="000000"/>
                <w:spacing w:val="18"/>
                <w:kern w:val="0"/>
                <w:szCs w:val="21"/>
                <w:lang w:eastAsia="en-US"/>
              </w:rPr>
              <w:t>第15</w:t>
            </w:r>
            <w:r>
              <w:rPr>
                <w:rFonts w:ascii="宋体" w:cs="宋体"/>
                <w:snapToGrid w:val="0"/>
                <w:color w:val="000000"/>
                <w:spacing w:val="-54"/>
                <w:kern w:val="0"/>
                <w:szCs w:val="21"/>
                <w:lang w:eastAsia="en-US"/>
              </w:rPr>
              <w:t xml:space="preserve"> </w:t>
            </w:r>
            <w:r>
              <w:rPr>
                <w:rFonts w:ascii="宋体" w:cs="宋体"/>
                <w:snapToGrid w:val="0"/>
                <w:color w:val="000000"/>
                <w:spacing w:val="18"/>
                <w:kern w:val="0"/>
                <w:szCs w:val="21"/>
                <w:lang w:eastAsia="en-US"/>
              </w:rPr>
              <w:t>.</w:t>
            </w:r>
            <w:r>
              <w:rPr>
                <w:rFonts w:ascii="宋体" w:cs="宋体"/>
                <w:snapToGrid w:val="0"/>
                <w:color w:val="000000"/>
                <w:spacing w:val="-61"/>
                <w:kern w:val="0"/>
                <w:szCs w:val="21"/>
                <w:lang w:eastAsia="en-US"/>
              </w:rPr>
              <w:t xml:space="preserve"> </w:t>
            </w:r>
            <w:r>
              <w:rPr>
                <w:rFonts w:ascii="宋体" w:cs="宋体"/>
                <w:snapToGrid w:val="0"/>
                <w:color w:val="000000"/>
                <w:spacing w:val="18"/>
                <w:kern w:val="0"/>
                <w:szCs w:val="21"/>
                <w:lang w:eastAsia="en-US"/>
              </w:rPr>
              <w:t>2(2)项</w:t>
            </w:r>
          </w:p>
        </w:tc>
        <w:tc>
          <w:tcPr>
            <w:tcW w:w="1738" w:type="dxa"/>
          </w:tcPr>
          <w:p w14:paraId="7BB8DC6C">
            <w:pPr>
              <w:widowControl/>
              <w:kinsoku w:val="0"/>
              <w:autoSpaceDE w:val="0"/>
              <w:autoSpaceDN w:val="0"/>
              <w:adjustRightInd w:val="0"/>
              <w:snapToGrid w:val="0"/>
              <w:spacing w:before="260" w:line="218" w:lineRule="auto"/>
              <w:ind w:left="122"/>
              <w:jc w:val="left"/>
              <w:textAlignment w:val="baseline"/>
              <w:rPr>
                <w:rFonts w:ascii="宋体" w:cs="宋体"/>
                <w:snapToGrid w:val="0"/>
                <w:color w:val="000000"/>
                <w:kern w:val="0"/>
                <w:szCs w:val="21"/>
                <w:lang w:eastAsia="en-US"/>
              </w:rPr>
            </w:pPr>
            <w:r>
              <w:rPr>
                <w:rFonts w:ascii="宋体" w:cs="宋体"/>
                <w:snapToGrid w:val="0"/>
                <w:color w:val="000000"/>
                <w:spacing w:val="1"/>
                <w:kern w:val="0"/>
                <w:szCs w:val="21"/>
                <w:lang w:eastAsia="en-US"/>
              </w:rPr>
              <w:t>迟延交货赔偿费</w:t>
            </w:r>
          </w:p>
        </w:tc>
        <w:tc>
          <w:tcPr>
            <w:tcW w:w="5159" w:type="dxa"/>
            <w:gridSpan w:val="2"/>
          </w:tcPr>
          <w:p w14:paraId="1D15196C">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20C753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34BA6081">
            <w:pPr>
              <w:widowControl/>
              <w:kinsoku w:val="0"/>
              <w:autoSpaceDE w:val="0"/>
              <w:autoSpaceDN w:val="0"/>
              <w:adjustRightInd w:val="0"/>
              <w:snapToGrid w:val="0"/>
              <w:spacing w:before="162" w:line="238" w:lineRule="auto"/>
              <w:ind w:left="47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第二节</w:t>
            </w:r>
          </w:p>
          <w:p w14:paraId="6B27994C">
            <w:pPr>
              <w:widowControl/>
              <w:kinsoku w:val="0"/>
              <w:autoSpaceDE w:val="0"/>
              <w:autoSpaceDN w:val="0"/>
              <w:adjustRightInd w:val="0"/>
              <w:snapToGrid w:val="0"/>
              <w:spacing w:line="218" w:lineRule="auto"/>
              <w:ind w:left="36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第15.3款</w:t>
            </w:r>
          </w:p>
        </w:tc>
        <w:tc>
          <w:tcPr>
            <w:tcW w:w="1738" w:type="dxa"/>
          </w:tcPr>
          <w:p w14:paraId="6742A48C">
            <w:pPr>
              <w:widowControl/>
              <w:kinsoku w:val="0"/>
              <w:autoSpaceDE w:val="0"/>
              <w:autoSpaceDN w:val="0"/>
              <w:adjustRightInd w:val="0"/>
              <w:snapToGrid w:val="0"/>
              <w:spacing w:before="272" w:line="218" w:lineRule="auto"/>
              <w:ind w:left="112"/>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逾期付款利息</w:t>
            </w:r>
          </w:p>
        </w:tc>
        <w:tc>
          <w:tcPr>
            <w:tcW w:w="5159" w:type="dxa"/>
            <w:gridSpan w:val="2"/>
          </w:tcPr>
          <w:p w14:paraId="5DE8E484">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7250C2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jc w:val="center"/>
        </w:trPr>
        <w:tc>
          <w:tcPr>
            <w:tcW w:w="1593" w:type="dxa"/>
          </w:tcPr>
          <w:p w14:paraId="27189A68">
            <w:pPr>
              <w:widowControl/>
              <w:kinsoku w:val="0"/>
              <w:autoSpaceDE w:val="0"/>
              <w:autoSpaceDN w:val="0"/>
              <w:adjustRightInd w:val="0"/>
              <w:snapToGrid w:val="0"/>
              <w:spacing w:before="213" w:line="238" w:lineRule="auto"/>
              <w:ind w:left="47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第二节</w:t>
            </w:r>
          </w:p>
          <w:p w14:paraId="5D3AA385">
            <w:pPr>
              <w:widowControl/>
              <w:kinsoku w:val="0"/>
              <w:autoSpaceDE w:val="0"/>
              <w:autoSpaceDN w:val="0"/>
              <w:adjustRightInd w:val="0"/>
              <w:snapToGrid w:val="0"/>
              <w:spacing w:line="218" w:lineRule="auto"/>
              <w:ind w:left="36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第15.4款</w:t>
            </w:r>
          </w:p>
        </w:tc>
        <w:tc>
          <w:tcPr>
            <w:tcW w:w="1738" w:type="dxa"/>
          </w:tcPr>
          <w:p w14:paraId="2809D679">
            <w:pPr>
              <w:widowControl/>
              <w:kinsoku w:val="0"/>
              <w:autoSpaceDE w:val="0"/>
              <w:autoSpaceDN w:val="0"/>
              <w:adjustRightInd w:val="0"/>
              <w:snapToGrid w:val="0"/>
              <w:spacing w:line="264" w:lineRule="auto"/>
              <w:jc w:val="left"/>
              <w:textAlignment w:val="baseline"/>
              <w:rPr>
                <w:rFonts w:ascii="宋体" w:cs="Arial"/>
                <w:snapToGrid w:val="0"/>
                <w:color w:val="000000"/>
                <w:kern w:val="0"/>
                <w:szCs w:val="21"/>
                <w:lang w:eastAsia="en-US"/>
              </w:rPr>
            </w:pPr>
          </w:p>
          <w:p w14:paraId="7E55858C">
            <w:pPr>
              <w:widowControl/>
              <w:kinsoku w:val="0"/>
              <w:autoSpaceDE w:val="0"/>
              <w:autoSpaceDN w:val="0"/>
              <w:adjustRightInd w:val="0"/>
              <w:snapToGrid w:val="0"/>
              <w:spacing w:before="69" w:line="218" w:lineRule="auto"/>
              <w:ind w:left="112"/>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其他违约责任</w:t>
            </w:r>
          </w:p>
        </w:tc>
        <w:tc>
          <w:tcPr>
            <w:tcW w:w="5159" w:type="dxa"/>
            <w:gridSpan w:val="2"/>
          </w:tcPr>
          <w:p w14:paraId="5A28B632">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r w14:paraId="507D59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jc w:val="center"/>
        </w:trPr>
        <w:tc>
          <w:tcPr>
            <w:tcW w:w="1593" w:type="dxa"/>
          </w:tcPr>
          <w:p w14:paraId="7680B16F">
            <w:pPr>
              <w:widowControl/>
              <w:kinsoku w:val="0"/>
              <w:autoSpaceDE w:val="0"/>
              <w:autoSpaceDN w:val="0"/>
              <w:adjustRightInd w:val="0"/>
              <w:snapToGrid w:val="0"/>
              <w:spacing w:line="312" w:lineRule="auto"/>
              <w:jc w:val="left"/>
              <w:textAlignment w:val="baseline"/>
              <w:rPr>
                <w:rFonts w:ascii="宋体" w:cs="Arial"/>
                <w:snapToGrid w:val="0"/>
                <w:color w:val="000000"/>
                <w:kern w:val="0"/>
                <w:szCs w:val="21"/>
                <w:lang w:eastAsia="en-US"/>
              </w:rPr>
            </w:pPr>
          </w:p>
          <w:p w14:paraId="217CA011">
            <w:pPr>
              <w:widowControl/>
              <w:kinsoku w:val="0"/>
              <w:autoSpaceDE w:val="0"/>
              <w:autoSpaceDN w:val="0"/>
              <w:adjustRightInd w:val="0"/>
              <w:snapToGrid w:val="0"/>
              <w:spacing w:line="312" w:lineRule="auto"/>
              <w:jc w:val="left"/>
              <w:textAlignment w:val="baseline"/>
              <w:rPr>
                <w:rFonts w:ascii="宋体" w:cs="Arial"/>
                <w:snapToGrid w:val="0"/>
                <w:color w:val="000000"/>
                <w:kern w:val="0"/>
                <w:szCs w:val="21"/>
                <w:lang w:eastAsia="en-US"/>
              </w:rPr>
            </w:pPr>
          </w:p>
          <w:p w14:paraId="4BC7D6FF">
            <w:pPr>
              <w:widowControl/>
              <w:kinsoku w:val="0"/>
              <w:autoSpaceDE w:val="0"/>
              <w:autoSpaceDN w:val="0"/>
              <w:adjustRightInd w:val="0"/>
              <w:snapToGrid w:val="0"/>
              <w:spacing w:before="68" w:line="300" w:lineRule="exact"/>
              <w:ind w:left="475"/>
              <w:jc w:val="left"/>
              <w:textAlignment w:val="baseline"/>
              <w:rPr>
                <w:rFonts w:ascii="宋体" w:cs="宋体"/>
                <w:snapToGrid w:val="0"/>
                <w:color w:val="000000"/>
                <w:kern w:val="0"/>
                <w:szCs w:val="21"/>
                <w:lang w:eastAsia="en-US"/>
              </w:rPr>
            </w:pPr>
            <w:r>
              <w:rPr>
                <w:rFonts w:ascii="宋体" w:cs="宋体"/>
                <w:snapToGrid w:val="0"/>
                <w:color w:val="000000"/>
                <w:spacing w:val="-2"/>
                <w:kern w:val="0"/>
                <w:position w:val="6"/>
                <w:szCs w:val="21"/>
                <w:lang w:eastAsia="en-US"/>
              </w:rPr>
              <w:t>第二节</w:t>
            </w:r>
          </w:p>
          <w:p w14:paraId="7815F5A9">
            <w:pPr>
              <w:widowControl/>
              <w:kinsoku w:val="0"/>
              <w:autoSpaceDE w:val="0"/>
              <w:autoSpaceDN w:val="0"/>
              <w:adjustRightInd w:val="0"/>
              <w:snapToGrid w:val="0"/>
              <w:spacing w:line="218" w:lineRule="auto"/>
              <w:ind w:left="36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第19.2款</w:t>
            </w:r>
          </w:p>
        </w:tc>
        <w:tc>
          <w:tcPr>
            <w:tcW w:w="1738" w:type="dxa"/>
          </w:tcPr>
          <w:p w14:paraId="0EB32B35">
            <w:pPr>
              <w:widowControl/>
              <w:kinsoku w:val="0"/>
              <w:autoSpaceDE w:val="0"/>
              <w:autoSpaceDN w:val="0"/>
              <w:adjustRightInd w:val="0"/>
              <w:snapToGrid w:val="0"/>
              <w:spacing w:line="252" w:lineRule="auto"/>
              <w:jc w:val="left"/>
              <w:textAlignment w:val="baseline"/>
              <w:rPr>
                <w:rFonts w:ascii="宋体" w:cs="Arial"/>
                <w:snapToGrid w:val="0"/>
                <w:color w:val="000000"/>
                <w:kern w:val="0"/>
                <w:szCs w:val="21"/>
                <w:lang w:eastAsia="en-US"/>
              </w:rPr>
            </w:pPr>
          </w:p>
          <w:p w14:paraId="4C8EB2EA">
            <w:pPr>
              <w:widowControl/>
              <w:kinsoku w:val="0"/>
              <w:autoSpaceDE w:val="0"/>
              <w:autoSpaceDN w:val="0"/>
              <w:adjustRightInd w:val="0"/>
              <w:snapToGrid w:val="0"/>
              <w:spacing w:line="254" w:lineRule="auto"/>
              <w:jc w:val="left"/>
              <w:textAlignment w:val="baseline"/>
              <w:rPr>
                <w:rFonts w:ascii="宋体" w:cs="Arial"/>
                <w:snapToGrid w:val="0"/>
                <w:color w:val="000000"/>
                <w:kern w:val="0"/>
                <w:szCs w:val="21"/>
                <w:lang w:eastAsia="en-US"/>
              </w:rPr>
            </w:pPr>
          </w:p>
          <w:p w14:paraId="1ED86959">
            <w:pPr>
              <w:widowControl/>
              <w:kinsoku w:val="0"/>
              <w:autoSpaceDE w:val="0"/>
              <w:autoSpaceDN w:val="0"/>
              <w:adjustRightInd w:val="0"/>
              <w:snapToGrid w:val="0"/>
              <w:spacing w:line="254" w:lineRule="auto"/>
              <w:jc w:val="left"/>
              <w:textAlignment w:val="baseline"/>
              <w:rPr>
                <w:rFonts w:ascii="宋体" w:cs="Arial"/>
                <w:snapToGrid w:val="0"/>
                <w:color w:val="000000"/>
                <w:kern w:val="0"/>
                <w:szCs w:val="21"/>
                <w:lang w:eastAsia="en-US"/>
              </w:rPr>
            </w:pPr>
          </w:p>
          <w:p w14:paraId="38DD31B4">
            <w:pPr>
              <w:widowControl/>
              <w:kinsoku w:val="0"/>
              <w:autoSpaceDE w:val="0"/>
              <w:autoSpaceDN w:val="0"/>
              <w:adjustRightInd w:val="0"/>
              <w:snapToGrid w:val="0"/>
              <w:spacing w:before="69" w:line="218" w:lineRule="auto"/>
              <w:ind w:left="122"/>
              <w:jc w:val="left"/>
              <w:textAlignment w:val="baseline"/>
              <w:rPr>
                <w:rFonts w:ascii="宋体" w:cs="宋体"/>
                <w:snapToGrid w:val="0"/>
                <w:color w:val="000000"/>
                <w:kern w:val="0"/>
                <w:szCs w:val="21"/>
                <w:lang w:eastAsia="en-US"/>
              </w:rPr>
            </w:pPr>
            <w:r>
              <w:rPr>
                <w:rFonts w:ascii="宋体" w:cs="宋体"/>
                <w:snapToGrid w:val="0"/>
                <w:color w:val="000000"/>
                <w:spacing w:val="-1"/>
                <w:kern w:val="0"/>
                <w:szCs w:val="21"/>
                <w:lang w:eastAsia="en-US"/>
              </w:rPr>
              <w:t>解决争议的方法</w:t>
            </w:r>
          </w:p>
        </w:tc>
        <w:tc>
          <w:tcPr>
            <w:tcW w:w="5159" w:type="dxa"/>
            <w:gridSpan w:val="2"/>
          </w:tcPr>
          <w:p w14:paraId="6C94EA3D">
            <w:pPr>
              <w:widowControl/>
              <w:kinsoku w:val="0"/>
              <w:autoSpaceDE w:val="0"/>
              <w:autoSpaceDN w:val="0"/>
              <w:adjustRightInd w:val="0"/>
              <w:snapToGrid w:val="0"/>
              <w:spacing w:before="154" w:line="343" w:lineRule="auto"/>
              <w:ind w:left="114"/>
              <w:jc w:val="left"/>
              <w:textAlignment w:val="baseline"/>
              <w:rPr>
                <w:rFonts w:ascii="宋体" w:cs="宋体"/>
                <w:snapToGrid w:val="0"/>
                <w:color w:val="000000"/>
                <w:kern w:val="0"/>
                <w:szCs w:val="21"/>
              </w:rPr>
            </w:pPr>
            <w:r>
              <w:rPr>
                <w:rFonts w:ascii="宋体" w:cs="宋体"/>
                <w:snapToGrid w:val="0"/>
                <w:color w:val="000000"/>
                <w:kern w:val="0"/>
                <w:szCs w:val="21"/>
              </w:rPr>
              <w:t>因本合同及合同有关事项发生的争议，按下列第</w:t>
            </w:r>
            <w:r>
              <w:rPr>
                <w:rFonts w:ascii="宋体" w:cs="宋体"/>
                <w:snapToGrid w:val="0"/>
                <w:color w:val="000000"/>
                <w:spacing w:val="104"/>
                <w:kern w:val="0"/>
                <w:szCs w:val="21"/>
                <w:u w:val="single"/>
              </w:rPr>
              <w:t xml:space="preserve"> </w:t>
            </w:r>
            <w:r>
              <w:rPr>
                <w:rFonts w:ascii="宋体" w:cs="宋体"/>
                <w:snapToGrid w:val="0"/>
                <w:color w:val="000000"/>
                <w:kern w:val="0"/>
                <w:szCs w:val="21"/>
              </w:rPr>
              <w:t>种</w:t>
            </w:r>
          </w:p>
          <w:p w14:paraId="1455524A">
            <w:pPr>
              <w:widowControl/>
              <w:kinsoku w:val="0"/>
              <w:autoSpaceDE w:val="0"/>
              <w:autoSpaceDN w:val="0"/>
              <w:adjustRightInd w:val="0"/>
              <w:snapToGrid w:val="0"/>
              <w:spacing w:line="218" w:lineRule="auto"/>
              <w:ind w:left="94"/>
              <w:jc w:val="left"/>
              <w:textAlignment w:val="baseline"/>
              <w:rPr>
                <w:rFonts w:ascii="宋体" w:cs="宋体"/>
                <w:snapToGrid w:val="0"/>
                <w:color w:val="000000"/>
                <w:kern w:val="0"/>
                <w:szCs w:val="21"/>
              </w:rPr>
            </w:pPr>
            <w:r>
              <w:rPr>
                <w:rFonts w:ascii="宋体" w:cs="宋体"/>
                <w:snapToGrid w:val="0"/>
                <w:color w:val="000000"/>
                <w:spacing w:val="-1"/>
                <w:kern w:val="0"/>
                <w:szCs w:val="21"/>
              </w:rPr>
              <w:t>方式解决：</w:t>
            </w:r>
          </w:p>
          <w:p w14:paraId="76FAB076">
            <w:pPr>
              <w:widowControl/>
              <w:kinsoku w:val="0"/>
              <w:autoSpaceDE w:val="0"/>
              <w:autoSpaceDN w:val="0"/>
              <w:adjustRightInd w:val="0"/>
              <w:snapToGrid w:val="0"/>
              <w:spacing w:before="162" w:line="218" w:lineRule="auto"/>
              <w:ind w:left="224"/>
              <w:jc w:val="left"/>
              <w:textAlignment w:val="baseline"/>
              <w:rPr>
                <w:rFonts w:ascii="宋体" w:cs="宋体"/>
                <w:snapToGrid w:val="0"/>
                <w:color w:val="000000"/>
                <w:kern w:val="0"/>
                <w:szCs w:val="21"/>
              </w:rPr>
            </w:pPr>
            <w:r>
              <w:rPr>
                <w:rFonts w:ascii="宋体" w:cs="宋体"/>
                <w:snapToGrid w:val="0"/>
                <w:color w:val="000000"/>
                <w:spacing w:val="-1"/>
                <w:kern w:val="0"/>
                <w:szCs w:val="21"/>
              </w:rPr>
              <w:t>(1)向_</w:t>
            </w:r>
            <w:r>
              <w:rPr>
                <w:rFonts w:ascii="宋体" w:cs="宋体"/>
                <w:snapToGrid w:val="0"/>
                <w:color w:val="000000"/>
                <w:spacing w:val="4"/>
                <w:kern w:val="0"/>
                <w:szCs w:val="21"/>
              </w:rPr>
              <w:t xml:space="preserve">                   </w:t>
            </w:r>
            <w:r>
              <w:rPr>
                <w:rFonts w:ascii="宋体" w:cs="宋体"/>
                <w:snapToGrid w:val="0"/>
                <w:color w:val="000000"/>
                <w:spacing w:val="-1"/>
                <w:kern w:val="0"/>
                <w:szCs w:val="21"/>
              </w:rPr>
              <w:t>仲裁委员会申请仲裁，</w:t>
            </w:r>
          </w:p>
          <w:p w14:paraId="709BE0D7">
            <w:pPr>
              <w:widowControl/>
              <w:kinsoku w:val="0"/>
              <w:autoSpaceDE w:val="0"/>
              <w:autoSpaceDN w:val="0"/>
              <w:adjustRightInd w:val="0"/>
              <w:snapToGrid w:val="0"/>
              <w:spacing w:before="128" w:line="218" w:lineRule="auto"/>
              <w:ind w:left="94"/>
              <w:jc w:val="left"/>
              <w:textAlignment w:val="baseline"/>
              <w:rPr>
                <w:rFonts w:ascii="宋体" w:cs="宋体"/>
                <w:snapToGrid w:val="0"/>
                <w:color w:val="000000"/>
                <w:kern w:val="0"/>
                <w:sz w:val="12"/>
                <w:szCs w:val="12"/>
              </w:rPr>
            </w:pPr>
            <w:r>
              <w:rPr>
                <w:rFonts w:ascii="宋体" w:cs="宋体"/>
                <w:snapToGrid w:val="0"/>
                <w:color w:val="000000"/>
                <w:spacing w:val="-2"/>
                <w:kern w:val="0"/>
                <w:szCs w:val="21"/>
              </w:rPr>
              <w:t>仲裁地点为</w:t>
            </w:r>
            <w:r>
              <w:rPr>
                <w:rFonts w:ascii="宋体" w:cs="宋体"/>
                <w:snapToGrid w:val="0"/>
                <w:color w:val="000000"/>
                <w:spacing w:val="-94"/>
                <w:kern w:val="0"/>
                <w:szCs w:val="21"/>
              </w:rPr>
              <w:t xml:space="preserve"> </w:t>
            </w:r>
            <w:r>
              <w:rPr>
                <w:rFonts w:ascii="宋体" w:cs="宋体"/>
                <w:snapToGrid w:val="0"/>
                <w:color w:val="000000"/>
                <w:spacing w:val="1"/>
                <w:kern w:val="0"/>
                <w:sz w:val="12"/>
                <w:szCs w:val="12"/>
                <w:u w:val="single"/>
              </w:rPr>
              <w:t xml:space="preserve">                   </w:t>
            </w:r>
            <w:r>
              <w:rPr>
                <w:rFonts w:ascii="宋体" w:cs="宋体"/>
                <w:snapToGrid w:val="0"/>
                <w:color w:val="000000"/>
                <w:spacing w:val="-2"/>
                <w:kern w:val="0"/>
                <w:sz w:val="12"/>
                <w:szCs w:val="12"/>
                <w:u w:val="single"/>
              </w:rPr>
              <w:t>;</w:t>
            </w:r>
          </w:p>
          <w:p w14:paraId="4561D6C9">
            <w:pPr>
              <w:widowControl/>
              <w:kinsoku w:val="0"/>
              <w:autoSpaceDE w:val="0"/>
              <w:autoSpaceDN w:val="0"/>
              <w:adjustRightInd w:val="0"/>
              <w:snapToGrid w:val="0"/>
              <w:spacing w:before="51" w:line="194" w:lineRule="auto"/>
              <w:ind w:left="204"/>
              <w:jc w:val="left"/>
              <w:textAlignment w:val="baseline"/>
              <w:rPr>
                <w:rFonts w:ascii="宋体" w:cs="宋体"/>
                <w:snapToGrid w:val="0"/>
                <w:color w:val="000000"/>
                <w:kern w:val="0"/>
                <w:szCs w:val="21"/>
              </w:rPr>
            </w:pPr>
            <w:r>
              <w:rPr>
                <w:rFonts w:ascii="宋体" w:cs="宋体"/>
                <w:snapToGrid w:val="0"/>
                <w:color w:val="000000"/>
                <w:spacing w:val="1"/>
                <w:kern w:val="0"/>
                <w:szCs w:val="21"/>
              </w:rPr>
              <w:t>(2)向</w:t>
            </w:r>
            <w:r>
              <w:rPr>
                <w:rFonts w:ascii="宋体" w:cs="宋体"/>
                <w:snapToGrid w:val="0"/>
                <w:color w:val="000000"/>
                <w:kern w:val="0"/>
                <w:szCs w:val="21"/>
              </w:rPr>
              <w:t xml:space="preserve">                     </w:t>
            </w:r>
            <w:r>
              <w:rPr>
                <w:rFonts w:ascii="宋体" w:cs="宋体"/>
                <w:snapToGrid w:val="0"/>
                <w:color w:val="000000"/>
                <w:spacing w:val="1"/>
                <w:kern w:val="0"/>
                <w:szCs w:val="21"/>
              </w:rPr>
              <w:t>人民法院起诉。</w:t>
            </w:r>
          </w:p>
        </w:tc>
      </w:tr>
      <w:tr w14:paraId="6F5199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4" w:hRule="atLeast"/>
          <w:jc w:val="center"/>
        </w:trPr>
        <w:tc>
          <w:tcPr>
            <w:tcW w:w="1593" w:type="dxa"/>
          </w:tcPr>
          <w:p w14:paraId="3BFAE9D1">
            <w:pPr>
              <w:widowControl/>
              <w:kinsoku w:val="0"/>
              <w:autoSpaceDE w:val="0"/>
              <w:autoSpaceDN w:val="0"/>
              <w:adjustRightInd w:val="0"/>
              <w:snapToGrid w:val="0"/>
              <w:spacing w:before="177" w:line="238" w:lineRule="auto"/>
              <w:ind w:left="47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第二节</w:t>
            </w:r>
          </w:p>
          <w:p w14:paraId="325068F5">
            <w:pPr>
              <w:widowControl/>
              <w:kinsoku w:val="0"/>
              <w:autoSpaceDE w:val="0"/>
              <w:autoSpaceDN w:val="0"/>
              <w:adjustRightInd w:val="0"/>
              <w:snapToGrid w:val="0"/>
              <w:spacing w:line="218" w:lineRule="auto"/>
              <w:ind w:left="365"/>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第23.1款</w:t>
            </w:r>
          </w:p>
        </w:tc>
        <w:tc>
          <w:tcPr>
            <w:tcW w:w="1738" w:type="dxa"/>
          </w:tcPr>
          <w:p w14:paraId="0555958F">
            <w:pPr>
              <w:widowControl/>
              <w:kinsoku w:val="0"/>
              <w:autoSpaceDE w:val="0"/>
              <w:autoSpaceDN w:val="0"/>
              <w:adjustRightInd w:val="0"/>
              <w:snapToGrid w:val="0"/>
              <w:spacing w:before="297" w:line="218" w:lineRule="auto"/>
              <w:ind w:left="112"/>
              <w:jc w:val="left"/>
              <w:textAlignment w:val="baseline"/>
              <w:rPr>
                <w:rFonts w:ascii="宋体" w:cs="宋体"/>
                <w:snapToGrid w:val="0"/>
                <w:color w:val="000000"/>
                <w:kern w:val="0"/>
                <w:szCs w:val="21"/>
                <w:lang w:eastAsia="en-US"/>
              </w:rPr>
            </w:pPr>
            <w:r>
              <w:rPr>
                <w:rFonts w:ascii="宋体" w:cs="宋体"/>
                <w:snapToGrid w:val="0"/>
                <w:color w:val="000000"/>
                <w:spacing w:val="-2"/>
                <w:kern w:val="0"/>
                <w:szCs w:val="21"/>
                <w:lang w:eastAsia="en-US"/>
              </w:rPr>
              <w:t>其他专用条款</w:t>
            </w:r>
          </w:p>
        </w:tc>
        <w:tc>
          <w:tcPr>
            <w:tcW w:w="5159" w:type="dxa"/>
            <w:gridSpan w:val="2"/>
          </w:tcPr>
          <w:p w14:paraId="0E13BE84">
            <w:pPr>
              <w:widowControl/>
              <w:kinsoku w:val="0"/>
              <w:autoSpaceDE w:val="0"/>
              <w:autoSpaceDN w:val="0"/>
              <w:adjustRightInd w:val="0"/>
              <w:snapToGrid w:val="0"/>
              <w:jc w:val="left"/>
              <w:textAlignment w:val="baseline"/>
              <w:rPr>
                <w:rFonts w:ascii="宋体" w:cs="Arial"/>
                <w:snapToGrid w:val="0"/>
                <w:color w:val="000000"/>
                <w:kern w:val="0"/>
                <w:szCs w:val="21"/>
                <w:lang w:eastAsia="en-US"/>
              </w:rPr>
            </w:pPr>
          </w:p>
        </w:tc>
      </w:tr>
    </w:tbl>
    <w:p w14:paraId="74F0DCDC">
      <w:pPr>
        <w:tabs>
          <w:tab w:val="left" w:pos="1875"/>
        </w:tabs>
      </w:pPr>
    </w:p>
    <w:p w14:paraId="263723D7">
      <w:pPr>
        <w:widowControl/>
        <w:jc w:val="left"/>
        <w:rPr>
          <w:rFonts w:ascii="宋体"/>
          <w:szCs w:val="21"/>
        </w:rPr>
      </w:pPr>
      <w:r>
        <w:rPr>
          <w:rFonts w:ascii="宋体"/>
          <w:szCs w:val="21"/>
        </w:rPr>
        <w:br w:type="page"/>
      </w:r>
    </w:p>
    <w:p w14:paraId="09615333">
      <w:pPr>
        <w:keepNext/>
        <w:keepLines/>
        <w:widowControl w:val="0"/>
        <w:spacing w:before="260" w:after="260"/>
        <w:jc w:val="center"/>
        <w:outlineLvl w:val="2"/>
        <w:rPr>
          <w:rFonts w:ascii="黑体" w:eastAsia="黑体"/>
          <w:bCs/>
          <w:kern w:val="0"/>
          <w:sz w:val="24"/>
        </w:rPr>
      </w:pPr>
      <w:r>
        <w:rPr>
          <w:rFonts w:hint="eastAsia" w:ascii="黑体" w:eastAsia="黑体"/>
          <w:bCs/>
          <w:kern w:val="0"/>
          <w:sz w:val="24"/>
        </w:rPr>
        <w:t>二、政府采购履约情况反馈表</w:t>
      </w:r>
    </w:p>
    <w:p w14:paraId="04F454B7">
      <w:pPr>
        <w:spacing w:line="240" w:lineRule="atLeast"/>
        <w:rPr>
          <w:rFonts w:ascii="宋体"/>
          <w:b/>
          <w:szCs w:val="21"/>
        </w:rPr>
      </w:pPr>
      <w:r>
        <w:rPr>
          <w:rFonts w:hint="eastAsia" w:ascii="宋体"/>
          <w:b/>
          <w:szCs w:val="21"/>
        </w:rPr>
        <w:t>采购人名称：                       联系人及电话：</w:t>
      </w:r>
    </w:p>
    <w:p w14:paraId="15AAE1B3">
      <w:pPr>
        <w:spacing w:line="60" w:lineRule="exact"/>
        <w:rPr>
          <w:rFonts w:ascii="宋体"/>
          <w:b/>
          <w:szCs w:val="21"/>
        </w:rPr>
      </w:pPr>
    </w:p>
    <w:tbl>
      <w:tblPr>
        <w:tblStyle w:val="42"/>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720"/>
        <w:gridCol w:w="2520"/>
        <w:gridCol w:w="1980"/>
        <w:gridCol w:w="2135"/>
      </w:tblGrid>
      <w:tr w14:paraId="310EF2E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2282" w:type="dxa"/>
            <w:gridSpan w:val="3"/>
            <w:vAlign w:val="center"/>
          </w:tcPr>
          <w:p w14:paraId="56FE3D23">
            <w:pPr>
              <w:spacing w:line="240" w:lineRule="atLeast"/>
              <w:jc w:val="center"/>
              <w:rPr>
                <w:rFonts w:ascii="宋体"/>
                <w:szCs w:val="21"/>
              </w:rPr>
            </w:pPr>
            <w:r>
              <w:rPr>
                <w:rFonts w:hint="eastAsia" w:ascii="宋体"/>
                <w:szCs w:val="21"/>
              </w:rPr>
              <w:t>采购项目名称</w:t>
            </w:r>
          </w:p>
        </w:tc>
        <w:tc>
          <w:tcPr>
            <w:tcW w:w="2520" w:type="dxa"/>
            <w:vAlign w:val="center"/>
          </w:tcPr>
          <w:p w14:paraId="083BD83F">
            <w:pPr>
              <w:spacing w:line="240" w:lineRule="atLeast"/>
              <w:jc w:val="center"/>
              <w:rPr>
                <w:rFonts w:ascii="宋体"/>
                <w:szCs w:val="21"/>
              </w:rPr>
            </w:pPr>
          </w:p>
        </w:tc>
        <w:tc>
          <w:tcPr>
            <w:tcW w:w="1980" w:type="dxa"/>
            <w:vAlign w:val="center"/>
          </w:tcPr>
          <w:p w14:paraId="213EE5C8">
            <w:pPr>
              <w:spacing w:line="240" w:lineRule="atLeast"/>
              <w:jc w:val="center"/>
              <w:rPr>
                <w:rFonts w:ascii="宋体"/>
                <w:szCs w:val="21"/>
              </w:rPr>
            </w:pPr>
            <w:r>
              <w:rPr>
                <w:rFonts w:hint="eastAsia" w:ascii="宋体"/>
                <w:szCs w:val="21"/>
              </w:rPr>
              <w:t>项目编号</w:t>
            </w:r>
          </w:p>
        </w:tc>
        <w:tc>
          <w:tcPr>
            <w:tcW w:w="2135" w:type="dxa"/>
            <w:vAlign w:val="center"/>
          </w:tcPr>
          <w:p w14:paraId="137D590D">
            <w:pPr>
              <w:spacing w:line="240" w:lineRule="atLeast"/>
              <w:jc w:val="center"/>
              <w:rPr>
                <w:rFonts w:ascii="宋体"/>
                <w:szCs w:val="21"/>
              </w:rPr>
            </w:pPr>
          </w:p>
        </w:tc>
      </w:tr>
      <w:tr w14:paraId="7C22057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2282" w:type="dxa"/>
            <w:gridSpan w:val="3"/>
            <w:vAlign w:val="center"/>
          </w:tcPr>
          <w:p w14:paraId="61DA83CF">
            <w:pPr>
              <w:spacing w:line="240" w:lineRule="atLeast"/>
              <w:jc w:val="center"/>
              <w:rPr>
                <w:rFonts w:ascii="宋体"/>
                <w:szCs w:val="21"/>
              </w:rPr>
            </w:pPr>
            <w:r>
              <w:rPr>
                <w:rFonts w:hint="eastAsia" w:ascii="宋体"/>
                <w:szCs w:val="21"/>
              </w:rPr>
              <w:t>中标供应商名称</w:t>
            </w:r>
          </w:p>
        </w:tc>
        <w:tc>
          <w:tcPr>
            <w:tcW w:w="2520" w:type="dxa"/>
            <w:vAlign w:val="center"/>
          </w:tcPr>
          <w:p w14:paraId="152500FF">
            <w:pPr>
              <w:spacing w:line="240" w:lineRule="atLeast"/>
              <w:jc w:val="center"/>
              <w:rPr>
                <w:rFonts w:ascii="宋体"/>
                <w:szCs w:val="21"/>
              </w:rPr>
            </w:pPr>
          </w:p>
        </w:tc>
        <w:tc>
          <w:tcPr>
            <w:tcW w:w="1980" w:type="dxa"/>
            <w:vAlign w:val="center"/>
          </w:tcPr>
          <w:p w14:paraId="2B52B745">
            <w:pPr>
              <w:spacing w:line="240" w:lineRule="atLeast"/>
              <w:jc w:val="center"/>
              <w:rPr>
                <w:rFonts w:ascii="宋体"/>
                <w:szCs w:val="21"/>
              </w:rPr>
            </w:pPr>
            <w:r>
              <w:rPr>
                <w:rFonts w:hint="eastAsia" w:ascii="宋体"/>
                <w:szCs w:val="21"/>
              </w:rPr>
              <w:t>供应商</w:t>
            </w:r>
          </w:p>
          <w:p w14:paraId="2CCAD7DB">
            <w:pPr>
              <w:spacing w:line="240" w:lineRule="atLeast"/>
              <w:jc w:val="center"/>
              <w:rPr>
                <w:rFonts w:ascii="宋体"/>
                <w:szCs w:val="21"/>
              </w:rPr>
            </w:pPr>
            <w:r>
              <w:rPr>
                <w:rFonts w:hint="eastAsia" w:ascii="宋体"/>
                <w:szCs w:val="21"/>
              </w:rPr>
              <w:t>联系人及电话</w:t>
            </w:r>
          </w:p>
        </w:tc>
        <w:tc>
          <w:tcPr>
            <w:tcW w:w="2135" w:type="dxa"/>
            <w:vAlign w:val="center"/>
          </w:tcPr>
          <w:p w14:paraId="0D428FEF">
            <w:pPr>
              <w:spacing w:line="240" w:lineRule="atLeast"/>
              <w:jc w:val="center"/>
              <w:rPr>
                <w:rFonts w:ascii="宋体"/>
                <w:szCs w:val="21"/>
              </w:rPr>
            </w:pPr>
          </w:p>
        </w:tc>
      </w:tr>
      <w:tr w14:paraId="703609E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2282" w:type="dxa"/>
            <w:gridSpan w:val="3"/>
            <w:vAlign w:val="center"/>
          </w:tcPr>
          <w:p w14:paraId="2F13986D">
            <w:pPr>
              <w:spacing w:line="240" w:lineRule="atLeast"/>
              <w:jc w:val="center"/>
              <w:rPr>
                <w:rFonts w:ascii="宋体"/>
                <w:szCs w:val="21"/>
              </w:rPr>
            </w:pPr>
            <w:r>
              <w:rPr>
                <w:rFonts w:hint="eastAsia" w:ascii="宋体"/>
                <w:szCs w:val="21"/>
              </w:rPr>
              <w:t>中标金额</w:t>
            </w:r>
          </w:p>
        </w:tc>
        <w:tc>
          <w:tcPr>
            <w:tcW w:w="2520" w:type="dxa"/>
            <w:vAlign w:val="center"/>
          </w:tcPr>
          <w:p w14:paraId="3CC11463">
            <w:pPr>
              <w:spacing w:line="240" w:lineRule="atLeast"/>
              <w:jc w:val="center"/>
              <w:rPr>
                <w:rFonts w:ascii="宋体"/>
                <w:szCs w:val="21"/>
              </w:rPr>
            </w:pPr>
          </w:p>
        </w:tc>
        <w:tc>
          <w:tcPr>
            <w:tcW w:w="1980" w:type="dxa"/>
            <w:vAlign w:val="center"/>
          </w:tcPr>
          <w:p w14:paraId="682542F5">
            <w:pPr>
              <w:spacing w:line="240" w:lineRule="atLeast"/>
              <w:jc w:val="center"/>
              <w:rPr>
                <w:rFonts w:ascii="宋体"/>
                <w:szCs w:val="21"/>
              </w:rPr>
            </w:pPr>
            <w:r>
              <w:rPr>
                <w:rFonts w:hint="eastAsia" w:ascii="宋体"/>
                <w:szCs w:val="21"/>
              </w:rPr>
              <w:t>合同履约时间</w:t>
            </w:r>
          </w:p>
        </w:tc>
        <w:tc>
          <w:tcPr>
            <w:tcW w:w="2135" w:type="dxa"/>
            <w:vAlign w:val="center"/>
          </w:tcPr>
          <w:p w14:paraId="4DDB9929">
            <w:pPr>
              <w:spacing w:line="240" w:lineRule="atLeast"/>
              <w:rPr>
                <w:rFonts w:ascii="宋体"/>
                <w:szCs w:val="21"/>
              </w:rPr>
            </w:pPr>
            <w:r>
              <w:rPr>
                <w:rFonts w:hint="eastAsia" w:ascii="宋体"/>
                <w:szCs w:val="21"/>
              </w:rPr>
              <w:t>自       至</w:t>
            </w:r>
          </w:p>
        </w:tc>
      </w:tr>
      <w:tr w14:paraId="69EC8A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842" w:type="dxa"/>
            <w:vMerge w:val="restart"/>
            <w:vAlign w:val="center"/>
          </w:tcPr>
          <w:p w14:paraId="7D75B56F">
            <w:pPr>
              <w:spacing w:line="240" w:lineRule="atLeast"/>
              <w:jc w:val="center"/>
              <w:rPr>
                <w:rFonts w:ascii="宋体"/>
                <w:b/>
                <w:szCs w:val="21"/>
              </w:rPr>
            </w:pPr>
            <w:r>
              <w:rPr>
                <w:rFonts w:hint="eastAsia" w:ascii="宋体"/>
                <w:b/>
                <w:szCs w:val="21"/>
              </w:rPr>
              <w:t>履约情况评价</w:t>
            </w:r>
          </w:p>
        </w:tc>
        <w:tc>
          <w:tcPr>
            <w:tcW w:w="1440" w:type="dxa"/>
            <w:gridSpan w:val="2"/>
            <w:tcBorders>
              <w:right w:val="single" w:color="auto" w:sz="4" w:space="0"/>
            </w:tcBorders>
            <w:vAlign w:val="center"/>
          </w:tcPr>
          <w:p w14:paraId="023848BF">
            <w:pPr>
              <w:spacing w:line="240" w:lineRule="atLeast"/>
              <w:jc w:val="center"/>
              <w:rPr>
                <w:rFonts w:ascii="宋体"/>
                <w:szCs w:val="21"/>
              </w:rPr>
            </w:pPr>
            <w:r>
              <w:rPr>
                <w:rFonts w:hint="eastAsia" w:ascii="宋体"/>
                <w:szCs w:val="21"/>
              </w:rPr>
              <w:t>总体评价</w:t>
            </w:r>
          </w:p>
        </w:tc>
        <w:tc>
          <w:tcPr>
            <w:tcW w:w="6635" w:type="dxa"/>
            <w:gridSpan w:val="3"/>
            <w:tcBorders>
              <w:left w:val="single" w:color="auto" w:sz="4" w:space="0"/>
            </w:tcBorders>
            <w:vAlign w:val="center"/>
          </w:tcPr>
          <w:p w14:paraId="1A3A530B">
            <w:pPr>
              <w:spacing w:line="240" w:lineRule="atLeast"/>
              <w:ind w:firstLine="105" w:firstLineChars="50"/>
              <w:jc w:val="center"/>
              <w:rPr>
                <w:rFonts w:ascii="宋体"/>
                <w:szCs w:val="21"/>
              </w:rPr>
            </w:pPr>
            <w:r>
              <w:rPr>
                <w:rFonts w:hint="eastAsia" w:ascii="宋体"/>
                <w:szCs w:val="21"/>
              </w:rPr>
              <w:t xml:space="preserve">□ 优          □ 良          </w:t>
            </w:r>
            <w:r>
              <w:rPr>
                <w:rFonts w:hint="eastAsia" w:ascii="宋体"/>
                <w:szCs w:val="21"/>
              </w:rPr>
              <w:sym w:font="Wingdings 2" w:char="00A3"/>
            </w:r>
            <w:r>
              <w:rPr>
                <w:rFonts w:hint="eastAsia" w:ascii="宋体"/>
                <w:szCs w:val="21"/>
              </w:rPr>
              <w:t xml:space="preserve"> 中           □ 差</w:t>
            </w:r>
          </w:p>
        </w:tc>
      </w:tr>
      <w:tr w14:paraId="3E0008A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38CD11F5"/>
        </w:tc>
        <w:tc>
          <w:tcPr>
            <w:tcW w:w="720" w:type="dxa"/>
            <w:vMerge w:val="restart"/>
            <w:tcBorders>
              <w:right w:val="single" w:color="auto" w:sz="4" w:space="0"/>
            </w:tcBorders>
            <w:vAlign w:val="center"/>
          </w:tcPr>
          <w:p w14:paraId="256F759C">
            <w:pPr>
              <w:spacing w:line="240" w:lineRule="atLeast"/>
              <w:jc w:val="center"/>
              <w:rPr>
                <w:rFonts w:ascii="宋体"/>
                <w:szCs w:val="21"/>
              </w:rPr>
            </w:pPr>
            <w:r>
              <w:rPr>
                <w:rFonts w:hint="eastAsia" w:ascii="宋体"/>
                <w:szCs w:val="21"/>
              </w:rPr>
              <w:t>分项评价</w:t>
            </w:r>
          </w:p>
        </w:tc>
        <w:tc>
          <w:tcPr>
            <w:tcW w:w="720" w:type="dxa"/>
            <w:tcBorders>
              <w:left w:val="single" w:color="auto" w:sz="4" w:space="0"/>
              <w:right w:val="single" w:color="auto" w:sz="4" w:space="0"/>
            </w:tcBorders>
            <w:vAlign w:val="center"/>
          </w:tcPr>
          <w:p w14:paraId="5ADBF1C5">
            <w:pPr>
              <w:spacing w:line="240" w:lineRule="atLeast"/>
              <w:jc w:val="center"/>
              <w:rPr>
                <w:rFonts w:ascii="宋体"/>
                <w:szCs w:val="21"/>
              </w:rPr>
            </w:pPr>
            <w:r>
              <w:rPr>
                <w:rFonts w:hint="eastAsia" w:ascii="宋体"/>
                <w:szCs w:val="21"/>
              </w:rPr>
              <w:t>质量方面</w:t>
            </w:r>
          </w:p>
        </w:tc>
        <w:tc>
          <w:tcPr>
            <w:tcW w:w="6635" w:type="dxa"/>
            <w:gridSpan w:val="3"/>
            <w:tcBorders>
              <w:left w:val="single" w:color="auto" w:sz="4" w:space="0"/>
            </w:tcBorders>
            <w:vAlign w:val="center"/>
          </w:tcPr>
          <w:p w14:paraId="3F770D9B">
            <w:pPr>
              <w:spacing w:line="240" w:lineRule="atLeast"/>
              <w:jc w:val="center"/>
              <w:rPr>
                <w:rFonts w:ascii="宋体"/>
                <w:szCs w:val="21"/>
              </w:rPr>
            </w:pPr>
            <w:r>
              <w:rPr>
                <w:rFonts w:hint="eastAsia" w:ascii="宋体"/>
                <w:szCs w:val="21"/>
              </w:rPr>
              <w:t xml:space="preserve"> □ 优          □ 良          □ 中           □ 差</w:t>
            </w:r>
          </w:p>
        </w:tc>
      </w:tr>
      <w:tr w14:paraId="1DDAA25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24F5B645"/>
        </w:tc>
        <w:tc>
          <w:tcPr>
            <w:tcW w:w="720" w:type="dxa"/>
            <w:vMerge w:val="continue"/>
            <w:tcBorders>
              <w:right w:val="single" w:color="auto" w:sz="4" w:space="0"/>
            </w:tcBorders>
            <w:vAlign w:val="center"/>
          </w:tcPr>
          <w:p w14:paraId="2A62F396"/>
        </w:tc>
        <w:tc>
          <w:tcPr>
            <w:tcW w:w="720" w:type="dxa"/>
            <w:tcBorders>
              <w:left w:val="single" w:color="auto" w:sz="4" w:space="0"/>
              <w:right w:val="single" w:color="auto" w:sz="4" w:space="0"/>
            </w:tcBorders>
            <w:vAlign w:val="center"/>
          </w:tcPr>
          <w:p w14:paraId="24442279">
            <w:pPr>
              <w:spacing w:line="240" w:lineRule="atLeast"/>
              <w:jc w:val="center"/>
              <w:rPr>
                <w:rFonts w:ascii="宋体"/>
                <w:szCs w:val="21"/>
              </w:rPr>
            </w:pPr>
            <w:r>
              <w:rPr>
                <w:rFonts w:hint="eastAsia" w:ascii="宋体"/>
                <w:szCs w:val="21"/>
              </w:rPr>
              <w:t>价格方面</w:t>
            </w:r>
          </w:p>
        </w:tc>
        <w:tc>
          <w:tcPr>
            <w:tcW w:w="6635" w:type="dxa"/>
            <w:gridSpan w:val="3"/>
            <w:tcBorders>
              <w:left w:val="single" w:color="auto" w:sz="4" w:space="0"/>
            </w:tcBorders>
            <w:vAlign w:val="center"/>
          </w:tcPr>
          <w:p w14:paraId="405D12AD">
            <w:pPr>
              <w:spacing w:line="240" w:lineRule="atLeast"/>
              <w:jc w:val="center"/>
              <w:rPr>
                <w:rFonts w:ascii="宋体"/>
                <w:szCs w:val="21"/>
              </w:rPr>
            </w:pPr>
            <w:r>
              <w:rPr>
                <w:rFonts w:hint="eastAsia" w:ascii="宋体"/>
                <w:szCs w:val="21"/>
              </w:rPr>
              <w:t xml:space="preserve"> □ 优          □ 良          □ 中           □ 差</w:t>
            </w:r>
          </w:p>
        </w:tc>
      </w:tr>
      <w:tr w14:paraId="645D820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161DEC47"/>
        </w:tc>
        <w:tc>
          <w:tcPr>
            <w:tcW w:w="720" w:type="dxa"/>
            <w:vMerge w:val="continue"/>
            <w:tcBorders>
              <w:right w:val="single" w:color="auto" w:sz="4" w:space="0"/>
            </w:tcBorders>
            <w:vAlign w:val="center"/>
          </w:tcPr>
          <w:p w14:paraId="1915123E"/>
        </w:tc>
        <w:tc>
          <w:tcPr>
            <w:tcW w:w="720" w:type="dxa"/>
            <w:tcBorders>
              <w:left w:val="single" w:color="auto" w:sz="4" w:space="0"/>
              <w:right w:val="single" w:color="auto" w:sz="4" w:space="0"/>
            </w:tcBorders>
            <w:vAlign w:val="center"/>
          </w:tcPr>
          <w:p w14:paraId="768283E9">
            <w:pPr>
              <w:spacing w:line="240" w:lineRule="atLeast"/>
              <w:jc w:val="center"/>
              <w:rPr>
                <w:rFonts w:ascii="宋体"/>
                <w:szCs w:val="21"/>
              </w:rPr>
            </w:pPr>
            <w:r>
              <w:rPr>
                <w:rFonts w:hint="eastAsia" w:ascii="宋体"/>
                <w:szCs w:val="21"/>
              </w:rPr>
              <w:t>服务方面</w:t>
            </w:r>
          </w:p>
        </w:tc>
        <w:tc>
          <w:tcPr>
            <w:tcW w:w="6635" w:type="dxa"/>
            <w:gridSpan w:val="3"/>
            <w:tcBorders>
              <w:left w:val="single" w:color="auto" w:sz="4" w:space="0"/>
            </w:tcBorders>
            <w:vAlign w:val="center"/>
          </w:tcPr>
          <w:p w14:paraId="70D55854">
            <w:pPr>
              <w:spacing w:line="240" w:lineRule="atLeast"/>
              <w:jc w:val="center"/>
              <w:rPr>
                <w:rFonts w:ascii="宋体"/>
                <w:szCs w:val="21"/>
              </w:rPr>
            </w:pPr>
            <w:r>
              <w:rPr>
                <w:rFonts w:hint="eastAsia" w:ascii="宋体"/>
                <w:szCs w:val="21"/>
              </w:rPr>
              <w:t xml:space="preserve"> □ 优          □ 良          □ 中           □ 差</w:t>
            </w:r>
          </w:p>
        </w:tc>
      </w:tr>
      <w:tr w14:paraId="4A94F0A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520C4557"/>
        </w:tc>
        <w:tc>
          <w:tcPr>
            <w:tcW w:w="720" w:type="dxa"/>
            <w:vMerge w:val="continue"/>
            <w:tcBorders>
              <w:right w:val="single" w:color="auto" w:sz="4" w:space="0"/>
            </w:tcBorders>
            <w:vAlign w:val="center"/>
          </w:tcPr>
          <w:p w14:paraId="0639BBCC"/>
        </w:tc>
        <w:tc>
          <w:tcPr>
            <w:tcW w:w="720" w:type="dxa"/>
            <w:tcBorders>
              <w:left w:val="single" w:color="auto" w:sz="4" w:space="0"/>
              <w:right w:val="single" w:color="auto" w:sz="4" w:space="0"/>
            </w:tcBorders>
            <w:vAlign w:val="center"/>
          </w:tcPr>
          <w:p w14:paraId="4BF7C002">
            <w:pPr>
              <w:spacing w:line="240" w:lineRule="atLeast"/>
              <w:jc w:val="center"/>
              <w:rPr>
                <w:rFonts w:ascii="宋体"/>
                <w:szCs w:val="21"/>
              </w:rPr>
            </w:pPr>
            <w:r>
              <w:rPr>
                <w:rFonts w:hint="eastAsia" w:ascii="宋体"/>
                <w:szCs w:val="21"/>
              </w:rPr>
              <w:t>时间方面</w:t>
            </w:r>
          </w:p>
        </w:tc>
        <w:tc>
          <w:tcPr>
            <w:tcW w:w="6635" w:type="dxa"/>
            <w:gridSpan w:val="3"/>
            <w:tcBorders>
              <w:left w:val="single" w:color="auto" w:sz="4" w:space="0"/>
            </w:tcBorders>
            <w:vAlign w:val="center"/>
          </w:tcPr>
          <w:p w14:paraId="52F83C28">
            <w:pPr>
              <w:spacing w:line="240" w:lineRule="atLeast"/>
              <w:jc w:val="center"/>
              <w:rPr>
                <w:rFonts w:ascii="宋体"/>
                <w:szCs w:val="21"/>
              </w:rPr>
            </w:pPr>
            <w:r>
              <w:rPr>
                <w:rFonts w:hint="eastAsia" w:ascii="宋体"/>
                <w:szCs w:val="21"/>
              </w:rPr>
              <w:t xml:space="preserve"> □ 优          □ 良          □ 中           □ 差</w:t>
            </w:r>
          </w:p>
        </w:tc>
      </w:tr>
      <w:tr w14:paraId="2F9D7EF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1265938C"/>
        </w:tc>
        <w:tc>
          <w:tcPr>
            <w:tcW w:w="720" w:type="dxa"/>
            <w:vMerge w:val="continue"/>
            <w:tcBorders>
              <w:right w:val="single" w:color="auto" w:sz="4" w:space="0"/>
            </w:tcBorders>
            <w:vAlign w:val="center"/>
          </w:tcPr>
          <w:p w14:paraId="5972038C"/>
        </w:tc>
        <w:tc>
          <w:tcPr>
            <w:tcW w:w="720" w:type="dxa"/>
            <w:tcBorders>
              <w:left w:val="single" w:color="auto" w:sz="4" w:space="0"/>
              <w:right w:val="single" w:color="auto" w:sz="4" w:space="0"/>
            </w:tcBorders>
            <w:vAlign w:val="center"/>
          </w:tcPr>
          <w:p w14:paraId="4772B0F9">
            <w:pPr>
              <w:spacing w:line="240" w:lineRule="atLeast"/>
              <w:jc w:val="center"/>
              <w:rPr>
                <w:rFonts w:ascii="宋体"/>
                <w:szCs w:val="21"/>
              </w:rPr>
            </w:pPr>
            <w:r>
              <w:rPr>
                <w:rFonts w:hint="eastAsia" w:ascii="宋体"/>
                <w:szCs w:val="21"/>
              </w:rPr>
              <w:t>环境保护</w:t>
            </w:r>
          </w:p>
        </w:tc>
        <w:tc>
          <w:tcPr>
            <w:tcW w:w="6635" w:type="dxa"/>
            <w:gridSpan w:val="3"/>
            <w:tcBorders>
              <w:left w:val="single" w:color="auto" w:sz="4" w:space="0"/>
            </w:tcBorders>
            <w:vAlign w:val="center"/>
          </w:tcPr>
          <w:p w14:paraId="2936E747">
            <w:pPr>
              <w:spacing w:line="240" w:lineRule="atLeast"/>
              <w:jc w:val="center"/>
              <w:rPr>
                <w:rFonts w:ascii="宋体"/>
                <w:szCs w:val="21"/>
              </w:rPr>
            </w:pPr>
            <w:r>
              <w:rPr>
                <w:rFonts w:hint="eastAsia" w:ascii="宋体"/>
                <w:szCs w:val="21"/>
              </w:rPr>
              <w:t xml:space="preserve"> □ 优          □ 良          □ 中           □ 差</w:t>
            </w:r>
          </w:p>
        </w:tc>
      </w:tr>
      <w:tr w14:paraId="4D617C8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251EE320"/>
        </w:tc>
        <w:tc>
          <w:tcPr>
            <w:tcW w:w="720" w:type="dxa"/>
            <w:vMerge w:val="continue"/>
            <w:tcBorders>
              <w:right w:val="single" w:color="auto" w:sz="4" w:space="0"/>
            </w:tcBorders>
            <w:vAlign w:val="center"/>
          </w:tcPr>
          <w:p w14:paraId="3C3E24A5"/>
        </w:tc>
        <w:tc>
          <w:tcPr>
            <w:tcW w:w="720" w:type="dxa"/>
            <w:tcBorders>
              <w:left w:val="single" w:color="auto" w:sz="4" w:space="0"/>
              <w:right w:val="single" w:color="auto" w:sz="4" w:space="0"/>
            </w:tcBorders>
            <w:vAlign w:val="center"/>
          </w:tcPr>
          <w:p w14:paraId="2AB91C82">
            <w:pPr>
              <w:spacing w:line="240" w:lineRule="atLeast"/>
              <w:jc w:val="center"/>
              <w:rPr>
                <w:rFonts w:ascii="宋体"/>
                <w:szCs w:val="21"/>
              </w:rPr>
            </w:pPr>
            <w:r>
              <w:rPr>
                <w:rFonts w:hint="eastAsia" w:ascii="宋体"/>
                <w:szCs w:val="21"/>
              </w:rPr>
              <w:t>其他</w:t>
            </w:r>
          </w:p>
        </w:tc>
        <w:tc>
          <w:tcPr>
            <w:tcW w:w="6635" w:type="dxa"/>
            <w:gridSpan w:val="3"/>
            <w:tcBorders>
              <w:left w:val="single" w:color="auto" w:sz="4" w:space="0"/>
            </w:tcBorders>
            <w:vAlign w:val="center"/>
          </w:tcPr>
          <w:p w14:paraId="05F59044">
            <w:pPr>
              <w:spacing w:before="120" w:beforeLines="50" w:after="120" w:afterLines="50" w:line="240" w:lineRule="atLeast"/>
              <w:rPr>
                <w:rFonts w:ascii="宋体"/>
                <w:szCs w:val="21"/>
                <w:u w:val="single"/>
              </w:rPr>
            </w:pPr>
            <w:r>
              <w:rPr>
                <w:rFonts w:hint="eastAsia" w:ascii="宋体"/>
                <w:szCs w:val="21"/>
              </w:rPr>
              <w:t>评价内容为：</w:t>
            </w:r>
            <w:r>
              <w:rPr>
                <w:rFonts w:hint="eastAsia" w:ascii="宋体"/>
                <w:szCs w:val="21"/>
                <w:u w:val="single"/>
              </w:rPr>
              <w:t xml:space="preserve">                    </w:t>
            </w:r>
          </w:p>
          <w:p w14:paraId="3E0B9E69">
            <w:pPr>
              <w:spacing w:before="120" w:beforeLines="50" w:after="120" w:afterLines="50" w:line="240" w:lineRule="atLeast"/>
              <w:rPr>
                <w:rFonts w:ascii="宋体"/>
                <w:szCs w:val="21"/>
              </w:rPr>
            </w:pPr>
            <w:r>
              <w:rPr>
                <w:rFonts w:hint="eastAsia" w:ascii="宋体"/>
                <w:szCs w:val="21"/>
              </w:rPr>
              <w:t>评价等级为：  □ 优       □ 良        □ 中         □ 差</w:t>
            </w:r>
          </w:p>
        </w:tc>
      </w:tr>
      <w:tr w14:paraId="7D3AF95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798" w:hRule="atLeast"/>
          <w:jc w:val="center"/>
        </w:trPr>
        <w:tc>
          <w:tcPr>
            <w:tcW w:w="1562" w:type="dxa"/>
            <w:gridSpan w:val="2"/>
            <w:vAlign w:val="center"/>
          </w:tcPr>
          <w:p w14:paraId="1BCEB8B8">
            <w:pPr>
              <w:spacing w:line="240" w:lineRule="atLeast"/>
              <w:jc w:val="center"/>
              <w:rPr>
                <w:rFonts w:ascii="宋体"/>
                <w:szCs w:val="21"/>
              </w:rPr>
            </w:pPr>
            <w:r>
              <w:rPr>
                <w:rFonts w:hint="eastAsia" w:ascii="宋体"/>
                <w:szCs w:val="21"/>
              </w:rPr>
              <w:t>具体情况说明</w:t>
            </w:r>
          </w:p>
        </w:tc>
        <w:tc>
          <w:tcPr>
            <w:tcW w:w="7355" w:type="dxa"/>
            <w:gridSpan w:val="4"/>
          </w:tcPr>
          <w:p w14:paraId="742AC7B3">
            <w:pPr>
              <w:spacing w:line="240" w:lineRule="atLeast"/>
              <w:rPr>
                <w:rFonts w:ascii="宋体"/>
                <w:szCs w:val="21"/>
              </w:rPr>
            </w:pPr>
          </w:p>
          <w:p w14:paraId="76A1BB60">
            <w:pPr>
              <w:spacing w:line="240" w:lineRule="atLeast"/>
              <w:rPr>
                <w:rFonts w:ascii="宋体"/>
                <w:szCs w:val="21"/>
              </w:rPr>
            </w:pPr>
          </w:p>
          <w:p w14:paraId="5526951D">
            <w:pPr>
              <w:spacing w:line="240" w:lineRule="atLeast"/>
              <w:rPr>
                <w:rFonts w:ascii="宋体"/>
                <w:szCs w:val="21"/>
              </w:rPr>
            </w:pPr>
          </w:p>
          <w:p w14:paraId="344A92CE">
            <w:pPr>
              <w:spacing w:line="240" w:lineRule="atLeast"/>
              <w:rPr>
                <w:rFonts w:ascii="宋体"/>
                <w:szCs w:val="21"/>
              </w:rPr>
            </w:pPr>
          </w:p>
          <w:p w14:paraId="534335B7">
            <w:pPr>
              <w:spacing w:line="240" w:lineRule="atLeast"/>
              <w:rPr>
                <w:rFonts w:ascii="宋体"/>
                <w:szCs w:val="21"/>
              </w:rPr>
            </w:pPr>
          </w:p>
        </w:tc>
      </w:tr>
      <w:tr w14:paraId="6921522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668" w:hRule="atLeast"/>
          <w:jc w:val="center"/>
        </w:trPr>
        <w:tc>
          <w:tcPr>
            <w:tcW w:w="1562" w:type="dxa"/>
            <w:gridSpan w:val="2"/>
            <w:vAlign w:val="center"/>
          </w:tcPr>
          <w:p w14:paraId="204893C5">
            <w:pPr>
              <w:spacing w:line="240" w:lineRule="atLeast"/>
              <w:jc w:val="center"/>
              <w:rPr>
                <w:rFonts w:ascii="宋体"/>
                <w:szCs w:val="21"/>
              </w:rPr>
            </w:pPr>
            <w:r>
              <w:rPr>
                <w:rFonts w:hint="eastAsia" w:ascii="宋体"/>
                <w:szCs w:val="21"/>
              </w:rPr>
              <w:t>采购人意见</w:t>
            </w:r>
          </w:p>
          <w:p w14:paraId="42CEAC7A">
            <w:pPr>
              <w:spacing w:line="240" w:lineRule="atLeast"/>
              <w:jc w:val="center"/>
              <w:rPr>
                <w:rFonts w:ascii="宋体"/>
                <w:szCs w:val="21"/>
              </w:rPr>
            </w:pPr>
            <w:r>
              <w:rPr>
                <w:rFonts w:hint="eastAsia" w:ascii="宋体"/>
                <w:szCs w:val="21"/>
              </w:rPr>
              <w:t>（公章）</w:t>
            </w:r>
          </w:p>
        </w:tc>
        <w:tc>
          <w:tcPr>
            <w:tcW w:w="7355" w:type="dxa"/>
            <w:gridSpan w:val="4"/>
            <w:vAlign w:val="center"/>
          </w:tcPr>
          <w:p w14:paraId="7F285495">
            <w:pPr>
              <w:spacing w:line="240" w:lineRule="atLeast"/>
              <w:rPr>
                <w:rFonts w:ascii="宋体"/>
                <w:szCs w:val="21"/>
              </w:rPr>
            </w:pPr>
          </w:p>
          <w:p w14:paraId="4EEF51C2">
            <w:pPr>
              <w:spacing w:line="240" w:lineRule="atLeast"/>
              <w:rPr>
                <w:rFonts w:ascii="宋体"/>
                <w:szCs w:val="21"/>
              </w:rPr>
            </w:pPr>
            <w:r>
              <w:rPr>
                <w:rFonts w:hint="eastAsia" w:ascii="宋体"/>
                <w:szCs w:val="21"/>
              </w:rPr>
              <w:t xml:space="preserve">                                        </w:t>
            </w:r>
          </w:p>
          <w:p w14:paraId="2024BD25">
            <w:pPr>
              <w:spacing w:line="240" w:lineRule="atLeast"/>
              <w:ind w:firstLine="3780" w:firstLineChars="1800"/>
              <w:rPr>
                <w:rFonts w:ascii="宋体"/>
                <w:szCs w:val="21"/>
              </w:rPr>
            </w:pPr>
          </w:p>
          <w:p w14:paraId="3AD6FE0B">
            <w:pPr>
              <w:spacing w:line="240" w:lineRule="atLeast"/>
              <w:ind w:firstLine="3780" w:firstLineChars="1800"/>
              <w:rPr>
                <w:rFonts w:ascii="宋体"/>
                <w:szCs w:val="21"/>
              </w:rPr>
            </w:pPr>
            <w:r>
              <w:rPr>
                <w:rFonts w:hint="eastAsia" w:ascii="宋体"/>
                <w:szCs w:val="21"/>
              </w:rPr>
              <w:t>日期：   年   月   日</w:t>
            </w:r>
          </w:p>
        </w:tc>
      </w:tr>
    </w:tbl>
    <w:p w14:paraId="0D69935E">
      <w:pPr>
        <w:spacing w:line="240" w:lineRule="atLeast"/>
        <w:rPr>
          <w:rFonts w:ascii="宋体"/>
          <w:szCs w:val="21"/>
        </w:rPr>
      </w:pPr>
      <w:r>
        <w:rPr>
          <w:rFonts w:hint="eastAsia" w:ascii="宋体"/>
          <w:szCs w:val="21"/>
        </w:rPr>
        <w:t>说明：</w:t>
      </w:r>
    </w:p>
    <w:p w14:paraId="6BFC8523">
      <w:pPr>
        <w:spacing w:line="240" w:lineRule="atLeast"/>
        <w:rPr>
          <w:rFonts w:ascii="宋体"/>
          <w:szCs w:val="21"/>
        </w:rPr>
      </w:pPr>
      <w:r>
        <w:rPr>
          <w:rFonts w:hint="eastAsia" w:ascii="宋体"/>
          <w:szCs w:val="21"/>
        </w:rPr>
        <w:t>履约情况评价分为优、良、中、差四个等级，请在对应的框前打“√”，然后在“具体情况说明”一栏详细说明有关情况。</w:t>
      </w:r>
    </w:p>
    <w:p w14:paraId="08AAD70E">
      <w:pPr>
        <w:widowControl/>
        <w:jc w:val="left"/>
        <w:rPr>
          <w:rFonts w:ascii="宋体"/>
          <w:b/>
          <w:bCs/>
          <w:kern w:val="0"/>
          <w:sz w:val="24"/>
          <w:szCs w:val="20"/>
        </w:rPr>
      </w:pPr>
      <w:r>
        <w:rPr>
          <w:rFonts w:ascii="宋体"/>
          <w:b/>
          <w:bCs/>
          <w:kern w:val="0"/>
          <w:sz w:val="24"/>
          <w:szCs w:val="20"/>
        </w:rPr>
        <w:br w:type="page"/>
      </w:r>
    </w:p>
    <w:p w14:paraId="0EBAEFAA">
      <w:pPr>
        <w:jc w:val="center"/>
        <w:rPr>
          <w:rFonts w:ascii="宋体"/>
          <w:b/>
          <w:bCs/>
          <w:kern w:val="0"/>
          <w:sz w:val="24"/>
          <w:szCs w:val="20"/>
        </w:rPr>
      </w:pPr>
      <w:r>
        <w:rPr>
          <w:rFonts w:hint="eastAsia" w:ascii="宋体"/>
          <w:b/>
          <w:bCs/>
          <w:kern w:val="0"/>
          <w:sz w:val="24"/>
          <w:szCs w:val="20"/>
        </w:rPr>
        <w:t>第五章  附件</w:t>
      </w:r>
    </w:p>
    <w:p w14:paraId="7E4149AD">
      <w:pPr>
        <w:jc w:val="center"/>
        <w:rPr>
          <w:rFonts w:ascii="宋体"/>
          <w:b/>
          <w:bCs/>
          <w:kern w:val="0"/>
          <w:sz w:val="24"/>
          <w:szCs w:val="20"/>
        </w:rPr>
      </w:pPr>
    </w:p>
    <w:p w14:paraId="5DD98A8C">
      <w:pPr>
        <w:jc w:val="center"/>
        <w:rPr>
          <w:rFonts w:ascii="宋体"/>
          <w:b/>
          <w:bCs/>
          <w:kern w:val="0"/>
          <w:sz w:val="24"/>
          <w:szCs w:val="20"/>
        </w:rPr>
      </w:pPr>
    </w:p>
    <w:p w14:paraId="6C3DC13C">
      <w:pPr>
        <w:keepNext/>
        <w:keepLines/>
        <w:widowControl w:val="0"/>
        <w:jc w:val="center"/>
        <w:outlineLvl w:val="2"/>
        <w:rPr>
          <w:rFonts w:ascii="宋体"/>
          <w:b/>
          <w:bCs/>
          <w:kern w:val="0"/>
          <w:sz w:val="28"/>
          <w:szCs w:val="32"/>
        </w:rPr>
      </w:pPr>
      <w:bookmarkStart w:id="37" w:name="_Toc73610162"/>
      <w:bookmarkStart w:id="38" w:name="_Toc73613644"/>
      <w:r>
        <w:rPr>
          <w:rFonts w:hint="eastAsia" w:ascii="宋体"/>
          <w:b/>
          <w:bCs/>
          <w:kern w:val="0"/>
          <w:sz w:val="28"/>
          <w:szCs w:val="32"/>
        </w:rPr>
        <w:t>一、财政部 工业和信息化部关于印发《政府采购促进中小企业发展管理办法》的通知</w:t>
      </w:r>
      <w:bookmarkEnd w:id="37"/>
      <w:bookmarkEnd w:id="38"/>
    </w:p>
    <w:p w14:paraId="2577F3C9">
      <w:pPr>
        <w:widowControl/>
        <w:shd w:val="clear" w:color="auto" w:fill="FFFFFF"/>
        <w:spacing w:before="100" w:beforeAutospacing="1" w:after="100" w:afterAutospacing="1" w:line="360" w:lineRule="auto"/>
        <w:jc w:val="center"/>
        <w:rPr>
          <w:rFonts w:ascii="宋体" w:eastAsia="宋体" w:cs="宋体"/>
          <w:color w:val="000000"/>
          <w:kern w:val="0"/>
          <w:szCs w:val="21"/>
        </w:rPr>
      </w:pPr>
      <w:r>
        <w:rPr>
          <w:rFonts w:hint="eastAsia" w:ascii="宋体" w:eastAsia="宋体" w:cs="宋体"/>
          <w:color w:val="000000"/>
          <w:kern w:val="0"/>
          <w:szCs w:val="21"/>
        </w:rPr>
        <w:t>财库〔2020〕46号</w:t>
      </w:r>
    </w:p>
    <w:p w14:paraId="64D5B9E4">
      <w:pPr>
        <w:widowControl/>
        <w:shd w:val="clear" w:color="auto" w:fill="FFFFFF"/>
        <w:spacing w:line="360" w:lineRule="auto"/>
        <w:rPr>
          <w:rFonts w:ascii="宋体" w:eastAsia="宋体" w:cs="宋体"/>
          <w:color w:val="333333"/>
          <w:kern w:val="0"/>
          <w:szCs w:val="21"/>
        </w:rPr>
      </w:pPr>
      <w:r>
        <w:rPr>
          <w:rFonts w:hint="eastAsia" w:ascii="宋体" w:eastAsia="宋体" w:cs="宋体"/>
          <w:color w:val="333333"/>
          <w:kern w:val="0"/>
          <w:szCs w:val="21"/>
        </w:rPr>
        <w:t>各中央预算单位办公厅（室），各省、自治区、直辖市、计划单列市财政厅（局）、工业和信息化主管部门，新疆生产建设兵团财政局、工业和信息化主管部门：</w:t>
      </w:r>
    </w:p>
    <w:p w14:paraId="01848EC6">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35AEBE85">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附件：政府采购促进中小企业发展管理办法</w:t>
      </w:r>
    </w:p>
    <w:p w14:paraId="05DB31E2">
      <w:pPr>
        <w:widowControl/>
        <w:shd w:val="clear" w:color="auto" w:fill="FFFFFF"/>
        <w:spacing w:line="360" w:lineRule="auto"/>
        <w:jc w:val="right"/>
        <w:rPr>
          <w:rFonts w:ascii="宋体" w:eastAsia="宋体" w:cs="宋体"/>
          <w:color w:val="333333"/>
          <w:kern w:val="0"/>
          <w:szCs w:val="21"/>
        </w:rPr>
      </w:pPr>
      <w:r>
        <w:rPr>
          <w:rFonts w:hint="eastAsia" w:ascii="宋体" w:eastAsia="宋体" w:cs="宋体"/>
          <w:color w:val="333333"/>
          <w:kern w:val="0"/>
          <w:szCs w:val="21"/>
        </w:rPr>
        <w:t>财　　政　　部</w:t>
      </w:r>
    </w:p>
    <w:p w14:paraId="56820D3C">
      <w:pPr>
        <w:widowControl/>
        <w:shd w:val="clear" w:color="auto" w:fill="FFFFFF"/>
        <w:spacing w:line="360" w:lineRule="auto"/>
        <w:jc w:val="right"/>
        <w:rPr>
          <w:rFonts w:ascii="宋体" w:eastAsia="宋体" w:cs="宋体"/>
          <w:color w:val="333333"/>
          <w:kern w:val="0"/>
          <w:szCs w:val="21"/>
        </w:rPr>
      </w:pPr>
      <w:r>
        <w:rPr>
          <w:rFonts w:hint="eastAsia" w:ascii="宋体" w:eastAsia="宋体" w:cs="宋体"/>
          <w:color w:val="333333"/>
          <w:kern w:val="0"/>
          <w:szCs w:val="21"/>
        </w:rPr>
        <w:t>工业和信息化部</w:t>
      </w:r>
    </w:p>
    <w:p w14:paraId="1741F4ED">
      <w:pPr>
        <w:widowControl/>
        <w:shd w:val="clear" w:color="auto" w:fill="FFFFFF"/>
        <w:spacing w:line="360" w:lineRule="auto"/>
        <w:jc w:val="right"/>
        <w:rPr>
          <w:rFonts w:ascii="宋体" w:eastAsia="宋体" w:cs="宋体"/>
          <w:color w:val="333333"/>
          <w:kern w:val="0"/>
          <w:szCs w:val="21"/>
        </w:rPr>
      </w:pPr>
      <w:r>
        <w:rPr>
          <w:rFonts w:hint="eastAsia" w:ascii="宋体" w:eastAsia="宋体" w:cs="宋体"/>
          <w:color w:val="333333"/>
          <w:kern w:val="0"/>
          <w:szCs w:val="21"/>
        </w:rPr>
        <w:t>2020年12月18日</w:t>
      </w:r>
    </w:p>
    <w:p w14:paraId="3E5A7B55">
      <w:pPr>
        <w:widowControl/>
        <w:shd w:val="clear" w:color="auto" w:fill="FFFFFF"/>
        <w:spacing w:line="360" w:lineRule="auto"/>
        <w:ind w:firstLine="480"/>
        <w:rPr>
          <w:rFonts w:ascii="宋体" w:eastAsia="宋体" w:cs="宋体"/>
          <w:color w:val="333333"/>
          <w:kern w:val="0"/>
          <w:szCs w:val="21"/>
        </w:rPr>
      </w:pPr>
    </w:p>
    <w:p w14:paraId="396A61C9">
      <w:pPr>
        <w:widowControl/>
        <w:shd w:val="clear" w:color="auto" w:fill="FFFFFF"/>
        <w:spacing w:line="360" w:lineRule="auto"/>
        <w:rPr>
          <w:rFonts w:ascii="宋体" w:eastAsia="宋体" w:cs="宋体"/>
          <w:color w:val="333333"/>
          <w:kern w:val="0"/>
          <w:szCs w:val="21"/>
        </w:rPr>
      </w:pPr>
      <w:r>
        <w:rPr>
          <w:rFonts w:hint="eastAsia" w:ascii="宋体" w:eastAsia="宋体" w:cs="宋体"/>
          <w:b/>
          <w:bCs/>
          <w:color w:val="333333"/>
          <w:kern w:val="0"/>
          <w:szCs w:val="21"/>
        </w:rPr>
        <w:t>附件</w:t>
      </w:r>
    </w:p>
    <w:p w14:paraId="7C158FFE">
      <w:pPr>
        <w:widowControl/>
        <w:shd w:val="clear" w:color="auto" w:fill="FFFFFF"/>
        <w:spacing w:line="360" w:lineRule="auto"/>
        <w:ind w:firstLine="480"/>
        <w:rPr>
          <w:rFonts w:ascii="宋体" w:eastAsia="宋体" w:cs="宋体"/>
          <w:color w:val="333333"/>
          <w:kern w:val="0"/>
          <w:szCs w:val="21"/>
        </w:rPr>
      </w:pPr>
    </w:p>
    <w:p w14:paraId="26A3830C">
      <w:pPr>
        <w:widowControl/>
        <w:shd w:val="clear" w:color="auto" w:fill="FFFFFF"/>
        <w:spacing w:line="360" w:lineRule="auto"/>
        <w:jc w:val="center"/>
        <w:rPr>
          <w:rFonts w:ascii="宋体" w:eastAsia="宋体" w:cs="宋体"/>
          <w:color w:val="333333"/>
          <w:kern w:val="0"/>
          <w:szCs w:val="21"/>
        </w:rPr>
      </w:pPr>
      <w:r>
        <w:rPr>
          <w:rFonts w:hint="eastAsia" w:ascii="宋体" w:eastAsia="宋体" w:cs="宋体"/>
          <w:b/>
          <w:bCs/>
          <w:color w:val="333333"/>
          <w:kern w:val="0"/>
          <w:szCs w:val="21"/>
        </w:rPr>
        <w:t>政府采购促进中小企业发展管理办法</w:t>
      </w:r>
    </w:p>
    <w:p w14:paraId="7785AACB">
      <w:pPr>
        <w:widowControl/>
        <w:shd w:val="clear" w:color="auto" w:fill="FFFFFF"/>
        <w:spacing w:line="360" w:lineRule="auto"/>
        <w:ind w:firstLine="480"/>
        <w:rPr>
          <w:rFonts w:ascii="宋体" w:eastAsia="宋体" w:cs="宋体"/>
          <w:color w:val="333333"/>
          <w:kern w:val="0"/>
          <w:szCs w:val="21"/>
        </w:rPr>
      </w:pPr>
    </w:p>
    <w:p w14:paraId="1268D292">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第一条</w:t>
      </w:r>
      <w:r>
        <w:rPr>
          <w:rFonts w:hint="eastAsia" w:ascii="宋体" w:eastAsia="宋体" w:cs="宋体"/>
          <w:color w:val="333333"/>
          <w:kern w:val="0"/>
          <w:szCs w:val="21"/>
        </w:rPr>
        <w:t>　为了发挥政府采购的政策功能，促进中小企业健康发展，根据《中华人民共和国政府采购法》、《中华人民共和国中小企业促进法》等有关法律法规，制定本办法。</w:t>
      </w:r>
    </w:p>
    <w:p w14:paraId="7FADE297">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第二条</w:t>
      </w:r>
      <w:r>
        <w:rPr>
          <w:rFonts w:hint="eastAsia" w:ascii="宋体" w:eastAsia="宋体" w:cs="宋体"/>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43A1D601">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符合中小企业划分标准的个体工商户，在政府采购活动中视同中小企业。</w:t>
      </w:r>
    </w:p>
    <w:p w14:paraId="20147930">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第三条</w:t>
      </w:r>
      <w:r>
        <w:rPr>
          <w:rFonts w:hint="eastAsia" w:ascii="宋体" w:eastAsia="宋体" w:cs="宋体"/>
          <w:color w:val="333333"/>
          <w:kern w:val="0"/>
          <w:szCs w:val="21"/>
        </w:rPr>
        <w:t>　采购人在政府采购活动中应当通过加强采购需求管理，落实预留采购份额、价格评审优惠、优先采购等措施，提高中小企业在政府采购中的份额，支持中小企业发展。</w:t>
      </w:r>
    </w:p>
    <w:p w14:paraId="28BDD377">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第四条</w:t>
      </w:r>
      <w:r>
        <w:rPr>
          <w:rFonts w:hint="eastAsia" w:ascii="宋体" w:eastAsia="宋体" w:cs="宋体"/>
          <w:color w:val="333333"/>
          <w:kern w:val="0"/>
          <w:szCs w:val="21"/>
        </w:rPr>
        <w:t>　在政府采购活动中，供应商提供的货物、工程或者服务符合下列情形的，享受本办法规定的中小企业扶持政策：</w:t>
      </w:r>
    </w:p>
    <w:p w14:paraId="7CD77827">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（一）在货物采购项目中，货物由中小企业制造，即货物由中小企业生产且使用该中小企业商号或者注册商标；</w:t>
      </w:r>
    </w:p>
    <w:p w14:paraId="4938F42B">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（二）在工程采购项目中，工程由中小企业承建，即工程施工单位为中小企业；</w:t>
      </w:r>
    </w:p>
    <w:p w14:paraId="3E696ECA">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（三）在服务采购项目中，服务由中小企业承接，即提供服务的人员为中小企业依照《中华人民共和国劳动合同法》订立劳动合同的从业人员。</w:t>
      </w:r>
    </w:p>
    <w:p w14:paraId="218093CF">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在货物采购项目中，供应商提供的货物既有中小企业制造货物，也有大型企业制造货物的，不享受本办法规定的中小企业扶持政策。</w:t>
      </w:r>
    </w:p>
    <w:p w14:paraId="3A7F69F6">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以联合体形式参加政府采购活动，联合体各方均为中小企业的，联合体视同中小企业。其中，联合体各方均为小微企业的，联合体视同小微企业。</w:t>
      </w:r>
    </w:p>
    <w:p w14:paraId="34469A21">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第五条</w:t>
      </w:r>
      <w:r>
        <w:rPr>
          <w:rFonts w:hint="eastAsia" w:ascii="宋体" w:eastAsia="宋体" w:cs="宋体"/>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01F9C752">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第六条</w:t>
      </w:r>
      <w:r>
        <w:rPr>
          <w:rFonts w:hint="eastAsia" w:ascii="宋体" w:eastAsia="宋体" w:cs="宋体"/>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0DEF339D">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符合下列情形之一的，可不专门面向中小企业预留采购份额：</w:t>
      </w:r>
    </w:p>
    <w:p w14:paraId="6BF2F7EF">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（一）法律法规和国家有关政策明确规定优先或者应当面向事业单位、社会组织等非企业主体采购的；</w:t>
      </w:r>
    </w:p>
    <w:p w14:paraId="04734C95">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（二）因确需使用不可替代的专利、专有技术，基础设施限制，或者提供特定公共服务等原因，只能从中小企业之外的供应商处采购的；</w:t>
      </w:r>
    </w:p>
    <w:p w14:paraId="436D41DA">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（三）按照本办法规定预留采购份额无法确保充分供应、充分竞争，或者存在可能影响政府采购目标实现的情形；</w:t>
      </w:r>
    </w:p>
    <w:p w14:paraId="3F135AB1">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（四）框架协议采购项目；</w:t>
      </w:r>
    </w:p>
    <w:p w14:paraId="06EC8E50">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（五）省级以上人民政府财政部门规定的其他情形。</w:t>
      </w:r>
    </w:p>
    <w:p w14:paraId="2ADA4025">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除上述情形外，其他均为适宜由中小企业提供的情形。</w:t>
      </w:r>
    </w:p>
    <w:p w14:paraId="1FB23A0A">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第七条</w:t>
      </w:r>
      <w:r>
        <w:rPr>
          <w:rFonts w:hint="eastAsia" w:ascii="宋体" w:eastAsia="宋体" w:cs="宋体"/>
          <w:color w:val="333333"/>
          <w:kern w:val="0"/>
          <w:szCs w:val="21"/>
        </w:rPr>
        <w:t>　采购限额标准以上，200万元以下的货物和服务采购项目、400万元以下的工程采购项目，适宜由中小企业提供的，采购人应当专门面向中小企业采购。</w:t>
      </w:r>
    </w:p>
    <w:p w14:paraId="2FE63D4F">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第八条</w:t>
      </w:r>
      <w:r>
        <w:rPr>
          <w:rFonts w:hint="eastAsia" w:ascii="宋体" w:eastAsia="宋体" w:cs="宋体"/>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12B1F649">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（一）将采购项目整体或者设置采购包专门面向中小企业采购；</w:t>
      </w:r>
    </w:p>
    <w:p w14:paraId="26AFE465">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（二）要求供应商以联合体形式参加采购活动，且联合体中中小企业承担的部分达到一定比例；</w:t>
      </w:r>
    </w:p>
    <w:p w14:paraId="3C960992">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（三）要求获得采购合同的供应商将采购项目中的一定比例分包给一家或者多家中小企业。</w:t>
      </w:r>
    </w:p>
    <w:p w14:paraId="1F146689">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组成联合体或者接受分包合同的中小企业与联合体内其他企业、分包企业之间不得存在直接控股、管理关系。</w:t>
      </w:r>
    </w:p>
    <w:p w14:paraId="7345B781">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第九条</w:t>
      </w:r>
      <w:r>
        <w:rPr>
          <w:rFonts w:hint="eastAsia" w:ascii="宋体" w:eastAsia="宋体" w:cs="宋体"/>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001966F2">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40F04077">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7D31DAA5">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第十条</w:t>
      </w:r>
      <w:r>
        <w:rPr>
          <w:rFonts w:hint="eastAsia" w:ascii="宋体" w:eastAsia="宋体" w:cs="宋体"/>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2AFFD78C">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第十一条</w:t>
      </w:r>
      <w:r>
        <w:rPr>
          <w:rFonts w:hint="eastAsia" w:ascii="宋体" w:eastAsia="宋体" w:cs="宋体"/>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6D7CF3A7">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第十二条</w:t>
      </w:r>
      <w:r>
        <w:rPr>
          <w:rFonts w:hint="eastAsia" w:ascii="宋体" w:eastAsia="宋体" w:cs="宋体"/>
          <w:color w:val="333333"/>
          <w:kern w:val="0"/>
          <w:szCs w:val="21"/>
        </w:rPr>
        <w:t>　采购项目涉及中小企业采购的，采购文件应当明确以下内容：</w:t>
      </w:r>
    </w:p>
    <w:p w14:paraId="7C15F45D">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（一）预留份额的采购项目或者采购包，明确该项目或相关采购包专门面向中小企业采购，以及相关标的及预算金额；</w:t>
      </w:r>
    </w:p>
    <w:p w14:paraId="2B476D93">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（二）要求以联合体形式参加或者合同分包的，明确联合协议或者分包意向协议中中小企业合同金额应当达到的比例，并作为供应商资格条件；</w:t>
      </w:r>
    </w:p>
    <w:p w14:paraId="68DE1CBC">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（三）非预留份额的采购项目或者采购包，明确有关价格扣除比例或者价格分加分比例；</w:t>
      </w:r>
    </w:p>
    <w:p w14:paraId="11A476D2">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（四）规定依据本办法规定享受扶持政策获得政府采购合同的，小微企业不得将合同分包给大中型企业，中型企业不得将合同分包给大型企业；</w:t>
      </w:r>
    </w:p>
    <w:p w14:paraId="14E164B7">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（五）采购人认为具备相关条件的，明确对中小企业在资金支付期限、预付款比例等方面的优惠措施；</w:t>
      </w:r>
    </w:p>
    <w:p w14:paraId="7849C635">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（六）明确采购标的对应的中小企业划分标准所属行业；</w:t>
      </w:r>
    </w:p>
    <w:p w14:paraId="50D1DE1A">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（七）法律法规和省级以上人民政府财政部门规定的其他事项。</w:t>
      </w:r>
    </w:p>
    <w:p w14:paraId="7248DAD8">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第十三条</w:t>
      </w:r>
      <w:r>
        <w:rPr>
          <w:rFonts w:hint="eastAsia" w:ascii="宋体" w:eastAsia="宋体" w:cs="宋体"/>
          <w:color w:val="333333"/>
          <w:kern w:val="0"/>
          <w:szCs w:val="21"/>
        </w:rPr>
        <w:t>　中标、成交供应商享受本办法规定的中小企业扶持政策的，采购人、采购代理机构应当随中标、成交结果公开中标、成交供应商的《中小企业声明函》。</w:t>
      </w:r>
    </w:p>
    <w:p w14:paraId="5178A98A">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适用招标投标法的政府采购工程建设项目，应当在公示中标候选人时公开中标候选人的《中小企业声明函》。</w:t>
      </w:r>
    </w:p>
    <w:p w14:paraId="49EAAC47">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第十四条</w:t>
      </w:r>
      <w:r>
        <w:rPr>
          <w:rFonts w:hint="eastAsia" w:ascii="宋体" w:eastAsia="宋体" w:cs="宋体"/>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598700DF">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第十五条</w:t>
      </w:r>
      <w:r>
        <w:rPr>
          <w:rFonts w:hint="eastAsia" w:ascii="宋体" w:eastAsia="宋体" w:cs="宋体"/>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09C59FDF">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第十六条</w:t>
      </w:r>
      <w:r>
        <w:rPr>
          <w:rFonts w:hint="eastAsia" w:ascii="宋体" w:eastAsia="宋体" w:cs="宋体"/>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6D8AC769">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中小企业主管部门应当在收到财政部门或者有关招标投标行政监督部门关于协助开展中小企业认定函后10个工作日内做出书面答复。</w:t>
      </w:r>
    </w:p>
    <w:p w14:paraId="4B391DDC">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第十七条</w:t>
      </w:r>
      <w:r>
        <w:rPr>
          <w:rFonts w:hint="eastAsia" w:ascii="宋体" w:eastAsia="宋体" w:cs="宋体"/>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4B6D27C3">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第十八条</w:t>
      </w:r>
      <w:r>
        <w:rPr>
          <w:rFonts w:hint="eastAsia" w:ascii="宋体" w:eastAsia="宋体" w:cs="宋体"/>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5ACA0798">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第十九条</w:t>
      </w:r>
      <w:r>
        <w:rPr>
          <w:rFonts w:hint="eastAsia" w:ascii="宋体" w:eastAsia="宋体" w:cs="宋体"/>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6CE907A3">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第二十条</w:t>
      </w:r>
      <w:r>
        <w:rPr>
          <w:rFonts w:hint="eastAsia" w:ascii="宋体" w:eastAsia="宋体" w:cs="宋体"/>
          <w:color w:val="333333"/>
          <w:kern w:val="0"/>
          <w:szCs w:val="21"/>
        </w:rPr>
        <w:t>　供应商按照本办法规定提供声明函内容不实的，属于提供虚假材料谋取中标、成交，依照《中华人民共和国政府采购法》等国家有关规定追究相应责任。</w:t>
      </w:r>
    </w:p>
    <w:p w14:paraId="6D2B9286">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39BE2E7E">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第二十一条</w:t>
      </w:r>
      <w:r>
        <w:rPr>
          <w:rFonts w:hint="eastAsia" w:ascii="宋体" w:eastAsia="宋体" w:cs="宋体"/>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4DDCB935">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第二十二条</w:t>
      </w:r>
      <w:r>
        <w:rPr>
          <w:rFonts w:hint="eastAsia" w:ascii="宋体" w:eastAsia="宋体" w:cs="宋体"/>
          <w:color w:val="333333"/>
          <w:kern w:val="0"/>
          <w:szCs w:val="21"/>
        </w:rPr>
        <w:t>　对外援助项目、国家相关资格或者资质管理制度另有规定的项目，不适用本办法。</w:t>
      </w:r>
    </w:p>
    <w:p w14:paraId="3739EDF0">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第二十三条</w:t>
      </w:r>
      <w:r>
        <w:rPr>
          <w:rFonts w:hint="eastAsia" w:ascii="宋体" w:eastAsia="宋体" w:cs="宋体"/>
          <w:color w:val="333333"/>
          <w:kern w:val="0"/>
          <w:szCs w:val="21"/>
        </w:rPr>
        <w:t>　关于视同中小企业的其他主体的政府采购扶持政策，由财政部会同有关部门另行规定。</w:t>
      </w:r>
    </w:p>
    <w:p w14:paraId="773FC7F3">
      <w:pPr>
        <w:widowControl/>
        <w:shd w:val="clear" w:color="auto" w:fill="FFFFFF"/>
        <w:spacing w:line="360" w:lineRule="auto"/>
        <w:ind w:firstLine="480"/>
        <w:rPr>
          <w:rFonts w:ascii="宋体" w:eastAsia="宋体" w:cs="宋体"/>
          <w:color w:val="333333"/>
          <w:kern w:val="0"/>
          <w:szCs w:val="21"/>
        </w:rPr>
      </w:pPr>
      <w:r>
        <w:rPr>
          <w:rFonts w:hint="eastAsia" w:ascii="宋体" w:eastAsia="宋体" w:cs="宋体"/>
          <w:b/>
          <w:bCs/>
          <w:color w:val="333333"/>
          <w:kern w:val="0"/>
          <w:szCs w:val="21"/>
        </w:rPr>
        <w:t>第二十四条</w:t>
      </w:r>
      <w:r>
        <w:rPr>
          <w:rFonts w:hint="eastAsia" w:ascii="宋体" w:eastAsia="宋体" w:cs="宋体"/>
          <w:color w:val="333333"/>
          <w:kern w:val="0"/>
          <w:szCs w:val="21"/>
        </w:rPr>
        <w:t>　省级财政部门可以会同中小企业主管部门根据本办法的规定制定具体实施办法。</w:t>
      </w:r>
    </w:p>
    <w:p w14:paraId="641BCC21">
      <w:pPr>
        <w:widowControl/>
        <w:shd w:val="clear" w:color="auto" w:fill="FFFFFF"/>
        <w:spacing w:line="360" w:lineRule="auto"/>
        <w:ind w:firstLine="480"/>
        <w:jc w:val="left"/>
        <w:rPr>
          <w:rFonts w:ascii="宋体" w:eastAsia="宋体" w:cs="宋体"/>
          <w:color w:val="333333"/>
          <w:kern w:val="0"/>
          <w:szCs w:val="21"/>
        </w:rPr>
      </w:pPr>
      <w:r>
        <w:rPr>
          <w:rFonts w:hint="eastAsia" w:ascii="宋体" w:eastAsia="宋体" w:cs="宋体"/>
          <w:b/>
          <w:bCs/>
          <w:color w:val="333333"/>
          <w:kern w:val="0"/>
          <w:szCs w:val="21"/>
        </w:rPr>
        <w:t>第二十五条</w:t>
      </w:r>
      <w:r>
        <w:rPr>
          <w:rFonts w:hint="eastAsia" w:ascii="宋体" w:eastAsia="宋体" w:cs="宋体"/>
          <w:color w:val="333333"/>
          <w:kern w:val="0"/>
          <w:szCs w:val="21"/>
        </w:rPr>
        <w:t>　本办法自2021年1月1日起施行。《财政部 工业和信息化部关于印发〈政府采购促进中小企业发展暂行办法〉的通知》（财库〔2011〕181号）同时废止。</w:t>
      </w:r>
    </w:p>
    <w:p w14:paraId="15871300">
      <w:pPr>
        <w:widowControl/>
        <w:shd w:val="clear" w:color="auto" w:fill="FFFFFF"/>
        <w:spacing w:line="360" w:lineRule="auto"/>
        <w:ind w:firstLine="480"/>
        <w:jc w:val="left"/>
        <w:rPr>
          <w:rFonts w:ascii="宋体" w:eastAsia="宋体" w:cs="宋体"/>
          <w:color w:val="333333"/>
          <w:kern w:val="0"/>
          <w:szCs w:val="21"/>
        </w:rPr>
      </w:pPr>
    </w:p>
    <w:p w14:paraId="32675CC8">
      <w:pPr>
        <w:spacing w:line="360" w:lineRule="auto"/>
        <w:rPr>
          <w:rFonts w:ascii="宋体" w:eastAsia="宋体"/>
          <w:szCs w:val="21"/>
        </w:rPr>
      </w:pPr>
    </w:p>
    <w:p w14:paraId="7CE296BA">
      <w:pPr>
        <w:keepNext/>
        <w:keepLines/>
        <w:widowControl w:val="0"/>
        <w:jc w:val="center"/>
        <w:outlineLvl w:val="2"/>
        <w:rPr>
          <w:rFonts w:ascii="宋体"/>
          <w:b/>
          <w:bCs/>
          <w:kern w:val="0"/>
          <w:sz w:val="28"/>
          <w:szCs w:val="32"/>
        </w:rPr>
      </w:pPr>
      <w:bookmarkStart w:id="39" w:name="_Toc73610163"/>
      <w:bookmarkStart w:id="40" w:name="_Toc73613645"/>
      <w:r>
        <w:rPr>
          <w:rFonts w:hint="eastAsia" w:ascii="宋体"/>
          <w:b/>
          <w:bCs/>
          <w:kern w:val="0"/>
          <w:sz w:val="28"/>
          <w:szCs w:val="32"/>
        </w:rPr>
        <w:t>二、关于印发中小企业划型标准规定的通知</w:t>
      </w:r>
      <w:bookmarkEnd w:id="39"/>
      <w:bookmarkEnd w:id="40"/>
    </w:p>
    <w:p w14:paraId="30B82E76">
      <w:pPr>
        <w:widowControl/>
        <w:shd w:val="clear" w:color="auto" w:fill="FFFFFF"/>
        <w:spacing w:before="100" w:beforeAutospacing="1" w:after="100" w:afterAutospacing="1" w:line="360" w:lineRule="auto"/>
        <w:jc w:val="center"/>
        <w:rPr>
          <w:rFonts w:ascii="宋体" w:eastAsia="宋体" w:cs="宋体"/>
          <w:color w:val="000000"/>
          <w:kern w:val="0"/>
          <w:szCs w:val="21"/>
        </w:rPr>
      </w:pPr>
      <w:r>
        <w:rPr>
          <w:rFonts w:hint="eastAsia" w:ascii="宋体" w:eastAsia="宋体" w:cs="宋体"/>
          <w:color w:val="000000"/>
          <w:kern w:val="0"/>
          <w:szCs w:val="21"/>
        </w:rPr>
        <w:t>工信部联企业〔2011〕300号</w:t>
      </w:r>
    </w:p>
    <w:p w14:paraId="3F36990D">
      <w:pPr>
        <w:widowControl/>
        <w:shd w:val="clear" w:color="auto" w:fill="FFFFFF"/>
        <w:spacing w:before="100" w:beforeAutospacing="1" w:after="100" w:afterAutospacing="1" w:line="360" w:lineRule="auto"/>
        <w:jc w:val="left"/>
        <w:rPr>
          <w:rFonts w:ascii="宋体" w:eastAsia="宋体" w:cs="宋体"/>
          <w:color w:val="000000"/>
          <w:kern w:val="0"/>
          <w:szCs w:val="21"/>
        </w:rPr>
      </w:pPr>
      <w:r>
        <w:rPr>
          <w:rFonts w:hint="eastAsia" w:ascii="宋体" w:eastAsia="宋体" w:cs="宋体"/>
          <w:color w:val="000000"/>
          <w:kern w:val="0"/>
          <w:szCs w:val="21"/>
        </w:rPr>
        <w:t>各省、自治区、直辖市人民政府，国务院各部委、各直属机构及有关单位：</w:t>
      </w:r>
      <w:r>
        <w:rPr>
          <w:rFonts w:hint="eastAsia" w:ascii="宋体" w:eastAsia="宋体" w:cs="宋体"/>
          <w:color w:val="000000"/>
          <w:kern w:val="0"/>
          <w:szCs w:val="21"/>
        </w:rPr>
        <w:br w:type="textWrapping"/>
      </w:r>
      <w:r>
        <w:rPr>
          <w:rFonts w:hint="eastAsia" w:ascii="宋体" w:eastAsia="宋体" w:cs="宋体"/>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EA445FA">
      <w:pPr>
        <w:widowControl/>
        <w:shd w:val="clear" w:color="auto" w:fill="FFFFFF"/>
        <w:spacing w:before="100" w:beforeAutospacing="1" w:after="100" w:afterAutospacing="1" w:line="360" w:lineRule="auto"/>
        <w:jc w:val="right"/>
        <w:rPr>
          <w:rFonts w:ascii="宋体" w:eastAsia="宋体" w:cs="宋体"/>
          <w:color w:val="000000"/>
          <w:kern w:val="0"/>
          <w:szCs w:val="21"/>
        </w:rPr>
      </w:pPr>
      <w:r>
        <w:rPr>
          <w:rFonts w:hint="eastAsia" w:ascii="宋体" w:eastAsia="宋体" w:cs="宋体"/>
          <w:color w:val="000000"/>
          <w:kern w:val="0"/>
          <w:szCs w:val="21"/>
        </w:rPr>
        <w:br w:type="textWrapping"/>
      </w:r>
      <w:r>
        <w:rPr>
          <w:rFonts w:hint="eastAsia" w:ascii="宋体" w:eastAsia="宋体" w:cs="宋体"/>
          <w:color w:val="000000"/>
          <w:kern w:val="0"/>
          <w:szCs w:val="21"/>
        </w:rPr>
        <w:t>　　　　　　　　　　　　　　　　　　　　　工业和信息化部　国家统计局</w:t>
      </w:r>
      <w:r>
        <w:rPr>
          <w:rFonts w:hint="eastAsia" w:ascii="宋体" w:eastAsia="宋体" w:cs="宋体"/>
          <w:color w:val="000000"/>
          <w:kern w:val="0"/>
          <w:szCs w:val="21"/>
        </w:rPr>
        <w:br w:type="textWrapping"/>
      </w:r>
      <w:r>
        <w:rPr>
          <w:rFonts w:hint="eastAsia" w:ascii="宋体" w:eastAsia="宋体" w:cs="宋体"/>
          <w:color w:val="000000"/>
          <w:kern w:val="0"/>
          <w:szCs w:val="21"/>
        </w:rPr>
        <w:t>　　　　　　　　　　　　　　　　　　　　国家发展和改革委员会　财政部</w:t>
      </w:r>
      <w:r>
        <w:rPr>
          <w:rFonts w:hint="eastAsia" w:ascii="宋体" w:eastAsia="宋体" w:cs="宋体"/>
          <w:color w:val="000000"/>
          <w:kern w:val="0"/>
          <w:szCs w:val="21"/>
        </w:rPr>
        <w:br w:type="textWrapping"/>
      </w:r>
      <w:r>
        <w:rPr>
          <w:rFonts w:hint="eastAsia" w:ascii="宋体" w:eastAsia="宋体" w:cs="宋体"/>
          <w:color w:val="000000"/>
          <w:kern w:val="0"/>
          <w:szCs w:val="21"/>
        </w:rPr>
        <w:t>　　　　　　　　　　　　　　　　　　　　　　　　二○一一年六月十八日</w:t>
      </w:r>
    </w:p>
    <w:p w14:paraId="5A65FDCC">
      <w:pPr>
        <w:widowControl/>
        <w:shd w:val="clear" w:color="auto" w:fill="FFFFFF"/>
        <w:spacing w:before="100" w:beforeAutospacing="1" w:after="100" w:afterAutospacing="1" w:line="360" w:lineRule="auto"/>
        <w:jc w:val="center"/>
        <w:rPr>
          <w:rFonts w:ascii="宋体" w:eastAsia="宋体" w:cs="宋体"/>
          <w:color w:val="000000"/>
          <w:kern w:val="0"/>
          <w:szCs w:val="21"/>
        </w:rPr>
      </w:pPr>
      <w:r>
        <w:rPr>
          <w:rFonts w:hint="eastAsia" w:ascii="宋体" w:eastAsia="宋体" w:cs="宋体"/>
          <w:b/>
          <w:bCs/>
          <w:color w:val="000000"/>
          <w:kern w:val="0"/>
        </w:rPr>
        <w:t>中小企业划型标准规定</w:t>
      </w:r>
    </w:p>
    <w:p w14:paraId="5AF238A9">
      <w:pPr>
        <w:widowControl/>
        <w:shd w:val="clear" w:color="auto" w:fill="FFFFFF"/>
        <w:spacing w:before="100" w:beforeAutospacing="1" w:after="100" w:afterAutospacing="1" w:line="360" w:lineRule="auto"/>
        <w:jc w:val="left"/>
        <w:rPr>
          <w:rFonts w:ascii="宋体" w:eastAsia="宋体" w:cs="宋体"/>
          <w:color w:val="000000"/>
          <w:kern w:val="0"/>
          <w:szCs w:val="21"/>
        </w:rPr>
      </w:pPr>
      <w:r>
        <w:rPr>
          <w:rFonts w:hint="eastAsia" w:ascii="宋体" w:eastAsia="宋体" w:cs="宋体"/>
          <w:color w:val="000000"/>
          <w:kern w:val="0"/>
          <w:szCs w:val="21"/>
        </w:rPr>
        <w:t>　　一、根据《中华人民共和国中小企业促进法》和《国务院关于进一步促进中小企业发展的若干意见》(国发〔2009〕36号)，制定本规定。</w:t>
      </w:r>
      <w:r>
        <w:rPr>
          <w:rFonts w:hint="eastAsia" w:ascii="宋体" w:eastAsia="宋体" w:cs="宋体"/>
          <w:color w:val="000000"/>
          <w:kern w:val="0"/>
          <w:szCs w:val="21"/>
        </w:rPr>
        <w:br w:type="textWrapping"/>
      </w:r>
      <w:r>
        <w:rPr>
          <w:rFonts w:hint="eastAsia" w:ascii="宋体" w:eastAsia="宋体" w:cs="宋体"/>
          <w:color w:val="000000"/>
          <w:kern w:val="0"/>
          <w:szCs w:val="21"/>
        </w:rPr>
        <w:t>　　二、中小企业划分为中型、小型、微型三种类型，具体标准根据企业从业人员、营业收入、资产总额等指标，结合行业特点制定。</w:t>
      </w:r>
      <w:r>
        <w:rPr>
          <w:rFonts w:hint="eastAsia" w:ascii="宋体" w:eastAsia="宋体" w:cs="宋体"/>
          <w:color w:val="000000"/>
          <w:kern w:val="0"/>
          <w:szCs w:val="21"/>
        </w:rPr>
        <w:br w:type="textWrapping"/>
      </w:r>
      <w:r>
        <w:rPr>
          <w:rFonts w:hint="eastAsia" w:ascii="宋体" w:eastAsia="宋体" w:cs="宋体"/>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宋体" w:eastAsia="宋体" w:cs="宋体"/>
          <w:color w:val="000000"/>
          <w:kern w:val="0"/>
          <w:szCs w:val="21"/>
        </w:rPr>
        <w:br w:type="textWrapping"/>
      </w:r>
      <w:r>
        <w:rPr>
          <w:rFonts w:hint="eastAsia" w:ascii="宋体" w:eastAsia="宋体" w:cs="宋体"/>
          <w:color w:val="000000"/>
          <w:kern w:val="0"/>
          <w:szCs w:val="21"/>
        </w:rPr>
        <w:t>　　四、各行业划型标准为：</w:t>
      </w:r>
      <w:r>
        <w:rPr>
          <w:rFonts w:hint="eastAsia" w:ascii="宋体" w:eastAsia="宋体" w:cs="宋体"/>
          <w:color w:val="000000"/>
          <w:kern w:val="0"/>
          <w:szCs w:val="21"/>
        </w:rPr>
        <w:br w:type="textWrapping"/>
      </w:r>
      <w:r>
        <w:rPr>
          <w:rFonts w:hint="eastAsia" w:ascii="宋体" w:eastAsia="宋体" w:cs="宋体"/>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ascii="宋体" w:eastAsia="宋体" w:cs="宋体"/>
          <w:color w:val="000000"/>
          <w:kern w:val="0"/>
          <w:szCs w:val="21"/>
        </w:rPr>
        <w:br w:type="textWrapping"/>
      </w:r>
      <w:r>
        <w:rPr>
          <w:rFonts w:hint="eastAsia" w:ascii="宋体" w:eastAsia="宋体" w:cs="宋体"/>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宋体" w:eastAsia="宋体" w:cs="宋体"/>
          <w:color w:val="000000"/>
          <w:kern w:val="0"/>
          <w:szCs w:val="21"/>
        </w:rPr>
        <w:br w:type="textWrapping"/>
      </w:r>
      <w:r>
        <w:rPr>
          <w:rFonts w:hint="eastAsia" w:ascii="宋体" w:eastAsia="宋体" w:cs="宋体"/>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宋体" w:eastAsia="宋体" w:cs="宋体"/>
          <w:color w:val="000000"/>
          <w:kern w:val="0"/>
          <w:szCs w:val="21"/>
        </w:rPr>
        <w:br w:type="textWrapping"/>
      </w:r>
      <w:r>
        <w:rPr>
          <w:rFonts w:hint="eastAsia" w:ascii="宋体" w:eastAsia="宋体" w:cs="宋体"/>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宋体" w:eastAsia="宋体" w:cs="宋体"/>
          <w:color w:val="000000"/>
          <w:kern w:val="0"/>
          <w:szCs w:val="21"/>
        </w:rPr>
        <w:br w:type="textWrapping"/>
      </w:r>
      <w:r>
        <w:rPr>
          <w:rFonts w:hint="eastAsia" w:ascii="宋体" w:eastAsia="宋体" w:cs="宋体"/>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宋体" w:eastAsia="宋体" w:cs="宋体"/>
          <w:color w:val="000000"/>
          <w:kern w:val="0"/>
          <w:szCs w:val="21"/>
        </w:rPr>
        <w:br w:type="textWrapping"/>
      </w:r>
      <w:r>
        <w:rPr>
          <w:rFonts w:hint="eastAsia" w:ascii="宋体" w:eastAsia="宋体" w:cs="宋体"/>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宋体" w:eastAsia="宋体" w:cs="宋体"/>
          <w:color w:val="000000"/>
          <w:kern w:val="0"/>
          <w:szCs w:val="21"/>
        </w:rPr>
        <w:br w:type="textWrapping"/>
      </w:r>
      <w:r>
        <w:rPr>
          <w:rFonts w:hint="eastAsia" w:ascii="宋体" w:eastAsia="宋体" w:cs="宋体"/>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宋体" w:eastAsia="宋体" w:cs="宋体"/>
          <w:color w:val="000000"/>
          <w:kern w:val="0"/>
          <w:szCs w:val="21"/>
        </w:rPr>
        <w:br w:type="textWrapping"/>
      </w:r>
      <w:r>
        <w:rPr>
          <w:rFonts w:hint="eastAsia" w:ascii="宋体" w:eastAsia="宋体" w:cs="宋体"/>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宋体" w:eastAsia="宋体" w:cs="宋体"/>
          <w:color w:val="000000"/>
          <w:kern w:val="0"/>
          <w:szCs w:val="21"/>
        </w:rPr>
        <w:br w:type="textWrapping"/>
      </w:r>
      <w:r>
        <w:rPr>
          <w:rFonts w:hint="eastAsia" w:ascii="宋体" w:eastAsia="宋体" w:cs="宋体"/>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宋体" w:eastAsia="宋体" w:cs="宋体"/>
          <w:color w:val="000000"/>
          <w:kern w:val="0"/>
          <w:szCs w:val="21"/>
        </w:rPr>
        <w:br w:type="textWrapping"/>
      </w:r>
      <w:r>
        <w:rPr>
          <w:rFonts w:hint="eastAsia" w:ascii="宋体" w:eastAsia="宋体" w:cs="宋体"/>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宋体" w:eastAsia="宋体" w:cs="宋体"/>
          <w:color w:val="000000"/>
          <w:kern w:val="0"/>
          <w:szCs w:val="21"/>
        </w:rPr>
        <w:br w:type="textWrapping"/>
      </w:r>
      <w:r>
        <w:rPr>
          <w:rFonts w:hint="eastAsia" w:ascii="宋体" w:eastAsia="宋体" w:cs="宋体"/>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宋体" w:eastAsia="宋体" w:cs="宋体"/>
          <w:color w:val="000000"/>
          <w:kern w:val="0"/>
          <w:szCs w:val="21"/>
        </w:rPr>
        <w:br w:type="textWrapping"/>
      </w:r>
      <w:r>
        <w:rPr>
          <w:rFonts w:hint="eastAsia" w:ascii="宋体" w:eastAsia="宋体" w:cs="宋体"/>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宋体" w:eastAsia="宋体" w:cs="宋体"/>
          <w:color w:val="000000"/>
          <w:kern w:val="0"/>
          <w:szCs w:val="21"/>
        </w:rPr>
        <w:br w:type="textWrapping"/>
      </w:r>
      <w:r>
        <w:rPr>
          <w:rFonts w:hint="eastAsia" w:ascii="宋体" w:eastAsia="宋体" w:cs="宋体"/>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宋体" w:eastAsia="宋体" w:cs="宋体"/>
          <w:color w:val="000000"/>
          <w:kern w:val="0"/>
          <w:szCs w:val="21"/>
        </w:rPr>
        <w:br w:type="textWrapping"/>
      </w:r>
      <w:r>
        <w:rPr>
          <w:rFonts w:hint="eastAsia" w:ascii="宋体" w:eastAsia="宋体" w:cs="宋体"/>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宋体" w:eastAsia="宋体" w:cs="宋体"/>
          <w:color w:val="000000"/>
          <w:kern w:val="0"/>
          <w:szCs w:val="21"/>
        </w:rPr>
        <w:br w:type="textWrapping"/>
      </w:r>
      <w:r>
        <w:rPr>
          <w:rFonts w:hint="eastAsia" w:ascii="宋体" w:eastAsia="宋体" w:cs="宋体"/>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宋体" w:eastAsia="宋体" w:cs="宋体"/>
          <w:color w:val="000000"/>
          <w:kern w:val="0"/>
          <w:szCs w:val="21"/>
        </w:rPr>
        <w:br w:type="textWrapping"/>
      </w:r>
      <w:r>
        <w:rPr>
          <w:rFonts w:hint="eastAsia" w:ascii="宋体" w:eastAsia="宋体" w:cs="宋体"/>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ascii="宋体" w:eastAsia="宋体" w:cs="宋体"/>
          <w:color w:val="000000"/>
          <w:kern w:val="0"/>
          <w:szCs w:val="21"/>
        </w:rPr>
        <w:br w:type="textWrapping"/>
      </w:r>
      <w:r>
        <w:rPr>
          <w:rFonts w:hint="eastAsia" w:ascii="宋体" w:eastAsia="宋体" w:cs="宋体"/>
          <w:color w:val="000000"/>
          <w:kern w:val="0"/>
          <w:szCs w:val="21"/>
        </w:rPr>
        <w:t>　　五、企业类型的划分以统计部门的统计数据为依据。</w:t>
      </w:r>
      <w:r>
        <w:rPr>
          <w:rFonts w:hint="eastAsia" w:ascii="宋体" w:eastAsia="宋体" w:cs="宋体"/>
          <w:color w:val="000000"/>
          <w:kern w:val="0"/>
          <w:szCs w:val="21"/>
        </w:rPr>
        <w:br w:type="textWrapping"/>
      </w:r>
      <w:r>
        <w:rPr>
          <w:rFonts w:hint="eastAsia" w:ascii="宋体" w:eastAsia="宋体" w:cs="宋体"/>
          <w:color w:val="000000"/>
          <w:kern w:val="0"/>
          <w:szCs w:val="21"/>
        </w:rPr>
        <w:t>　　六、本规定适用于在中华人民共和国境内依法设立的各类所有制和各种组织形式的企业。个体工商户和本规定以外的行业，参照本规定进行划型。</w:t>
      </w:r>
      <w:r>
        <w:rPr>
          <w:rFonts w:hint="eastAsia" w:ascii="宋体" w:eastAsia="宋体" w:cs="宋体"/>
          <w:color w:val="000000"/>
          <w:kern w:val="0"/>
          <w:szCs w:val="21"/>
        </w:rPr>
        <w:br w:type="textWrapping"/>
      </w:r>
      <w:r>
        <w:rPr>
          <w:rFonts w:hint="eastAsia" w:ascii="宋体" w:eastAsia="宋体" w:cs="宋体"/>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宋体" w:eastAsia="宋体" w:cs="宋体"/>
          <w:color w:val="000000"/>
          <w:kern w:val="0"/>
          <w:szCs w:val="21"/>
        </w:rPr>
        <w:br w:type="textWrapping"/>
      </w:r>
      <w:r>
        <w:rPr>
          <w:rFonts w:hint="eastAsia" w:ascii="宋体" w:eastAsia="宋体" w:cs="宋体"/>
          <w:color w:val="000000"/>
          <w:kern w:val="0"/>
          <w:szCs w:val="21"/>
        </w:rPr>
        <w:t>　　八、本规定由工业和信息化部、国家统计局会同有关部门根据《国民经济行业分类》修订情况和企业发展变化情况适时修订。</w:t>
      </w:r>
      <w:r>
        <w:rPr>
          <w:rFonts w:hint="eastAsia" w:ascii="宋体" w:eastAsia="宋体" w:cs="宋体"/>
          <w:color w:val="000000"/>
          <w:kern w:val="0"/>
          <w:szCs w:val="21"/>
        </w:rPr>
        <w:br w:type="textWrapping"/>
      </w:r>
      <w:r>
        <w:rPr>
          <w:rFonts w:hint="eastAsia" w:ascii="宋体" w:eastAsia="宋体" w:cs="宋体"/>
          <w:color w:val="000000"/>
          <w:kern w:val="0"/>
          <w:szCs w:val="21"/>
        </w:rPr>
        <w:t>　　九、本规定由工业和信息化部、国家统计局会同有关部门负责解释。</w:t>
      </w:r>
      <w:r>
        <w:rPr>
          <w:rFonts w:hint="eastAsia" w:ascii="宋体" w:eastAsia="宋体" w:cs="宋体"/>
          <w:color w:val="000000"/>
          <w:kern w:val="0"/>
          <w:szCs w:val="21"/>
        </w:rPr>
        <w:br w:type="textWrapping"/>
      </w:r>
      <w:r>
        <w:rPr>
          <w:rFonts w:hint="eastAsia" w:ascii="宋体" w:eastAsia="宋体" w:cs="宋体"/>
          <w:color w:val="000000"/>
          <w:kern w:val="0"/>
          <w:szCs w:val="21"/>
        </w:rPr>
        <w:t>　　十、本规定自发布之日起执行，原国家经贸委、原国家计委、财政部和国家统计局2003年颁布的《中小企业标准暂行规定》同时废止。</w:t>
      </w:r>
    </w:p>
    <w:p w14:paraId="012D3B4D">
      <w:pPr>
        <w:widowControl/>
        <w:shd w:val="clear" w:color="auto" w:fill="FFFFFF"/>
        <w:spacing w:before="100" w:beforeAutospacing="1" w:after="100" w:afterAutospacing="1" w:line="360" w:lineRule="auto"/>
        <w:jc w:val="left"/>
        <w:rPr>
          <w:rFonts w:ascii="宋体" w:eastAsia="宋体" w:cs="宋体"/>
          <w:color w:val="000000"/>
          <w:kern w:val="0"/>
          <w:szCs w:val="21"/>
        </w:rPr>
      </w:pPr>
    </w:p>
    <w:p w14:paraId="73DA7F40">
      <w:pPr>
        <w:keepNext/>
        <w:keepLines/>
        <w:widowControl w:val="0"/>
        <w:jc w:val="center"/>
        <w:outlineLvl w:val="2"/>
        <w:rPr>
          <w:rFonts w:ascii="宋体" w:eastAsia="宋体"/>
          <w:b/>
          <w:bCs/>
          <w:kern w:val="0"/>
          <w:sz w:val="28"/>
          <w:szCs w:val="32"/>
        </w:rPr>
      </w:pPr>
      <w:bookmarkStart w:id="41" w:name="_Toc73610164"/>
      <w:bookmarkStart w:id="42" w:name="_Toc73613646"/>
      <w:r>
        <w:rPr>
          <w:rFonts w:hint="eastAsia" w:ascii="宋体" w:eastAsia="宋体"/>
          <w:b/>
          <w:kern w:val="0"/>
          <w:sz w:val="28"/>
          <w:szCs w:val="32"/>
        </w:rPr>
        <w:t>三、</w:t>
      </w:r>
      <w:r>
        <w:rPr>
          <w:rFonts w:ascii="宋体" w:eastAsia="宋体"/>
          <w:b/>
          <w:kern w:val="0"/>
          <w:sz w:val="28"/>
          <w:szCs w:val="32"/>
        </w:rPr>
        <w:t>国家统计局关于印发《统计上大中小微型企业划分办法 （2017）》的通知</w:t>
      </w:r>
      <w:bookmarkEnd w:id="41"/>
      <w:bookmarkEnd w:id="42"/>
      <w:r>
        <w:rPr>
          <w:rFonts w:ascii="宋体" w:eastAsia="宋体"/>
          <w:b/>
          <w:kern w:val="0"/>
          <w:sz w:val="28"/>
          <w:szCs w:val="32"/>
        </w:rPr>
        <w:t> </w:t>
      </w:r>
    </w:p>
    <w:p w14:paraId="7E2599B7">
      <w:pPr>
        <w:widowControl/>
        <w:spacing w:line="360" w:lineRule="auto"/>
        <w:jc w:val="center"/>
        <w:rPr>
          <w:rFonts w:ascii="宋体" w:eastAsia="宋体" w:cs="宋体"/>
          <w:kern w:val="0"/>
          <w:szCs w:val="21"/>
        </w:rPr>
      </w:pPr>
      <w:r>
        <w:rPr>
          <w:rFonts w:hint="eastAsia" w:ascii="宋体" w:eastAsia="宋体" w:cs="宋体"/>
          <w:kern w:val="0"/>
          <w:szCs w:val="21"/>
        </w:rPr>
        <w:t>国统字〔2017〕213号</w:t>
      </w:r>
    </w:p>
    <w:p w14:paraId="554A1D55">
      <w:pPr>
        <w:widowControl/>
        <w:spacing w:line="360" w:lineRule="auto"/>
        <w:jc w:val="left"/>
        <w:rPr>
          <w:rFonts w:ascii="宋体" w:eastAsia="宋体" w:cs="宋体"/>
          <w:kern w:val="0"/>
          <w:szCs w:val="21"/>
        </w:rPr>
      </w:pPr>
      <w:r>
        <w:rPr>
          <w:rFonts w:ascii="宋体" w:eastAsia="宋体" w:cs="宋体"/>
          <w:kern w:val="0"/>
          <w:szCs w:val="21"/>
        </w:rPr>
        <w:t>各省、自治区、直辖市统计局，新疆生产建设兵团统计局，国务院各有关部门，国家统计局各调查总队：</w:t>
      </w:r>
    </w:p>
    <w:p w14:paraId="21C21387">
      <w:pPr>
        <w:widowControl/>
        <w:spacing w:line="360" w:lineRule="auto"/>
        <w:ind w:firstLine="371" w:firstLineChars="177"/>
        <w:jc w:val="left"/>
        <w:rPr>
          <w:rFonts w:ascii="宋体" w:eastAsia="宋体" w:cs="宋体"/>
          <w:kern w:val="0"/>
          <w:szCs w:val="21"/>
        </w:rPr>
      </w:pPr>
      <w:r>
        <w:rPr>
          <w:rFonts w:ascii="宋体" w:eastAsia="宋体" w:cs="宋体"/>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552413C0">
      <w:pPr>
        <w:widowControl/>
        <w:spacing w:line="360" w:lineRule="auto"/>
        <w:jc w:val="left"/>
        <w:rPr>
          <w:rFonts w:ascii="宋体" w:eastAsia="宋体" w:cs="宋体"/>
          <w:kern w:val="0"/>
          <w:szCs w:val="21"/>
        </w:rPr>
      </w:pPr>
      <w:r>
        <w:rPr>
          <w:rFonts w:ascii="宋体" w:eastAsia="宋体" w:cs="宋体"/>
          <w:kern w:val="0"/>
          <w:szCs w:val="21"/>
        </w:rPr>
        <w:t>附件：《统计上大中小微型企业划分办法（2017）》修订说明</w:t>
      </w:r>
    </w:p>
    <w:p w14:paraId="5A4416F2">
      <w:pPr>
        <w:widowControl/>
        <w:spacing w:line="360" w:lineRule="auto"/>
        <w:jc w:val="right"/>
        <w:rPr>
          <w:rFonts w:ascii="宋体" w:eastAsia="宋体" w:cs="宋体"/>
          <w:kern w:val="0"/>
          <w:szCs w:val="21"/>
        </w:rPr>
      </w:pPr>
      <w:r>
        <w:rPr>
          <w:rFonts w:ascii="宋体" w:eastAsia="宋体" w:cs="宋体"/>
          <w:kern w:val="0"/>
          <w:szCs w:val="21"/>
        </w:rPr>
        <w:t>国家统计局</w:t>
      </w:r>
    </w:p>
    <w:p w14:paraId="182D0C59">
      <w:pPr>
        <w:widowControl/>
        <w:spacing w:line="360" w:lineRule="auto"/>
        <w:jc w:val="right"/>
        <w:rPr>
          <w:rFonts w:ascii="宋体" w:eastAsia="宋体" w:cs="宋体"/>
          <w:kern w:val="0"/>
          <w:szCs w:val="21"/>
        </w:rPr>
      </w:pPr>
      <w:r>
        <w:rPr>
          <w:rFonts w:ascii="宋体" w:eastAsia="宋体" w:cs="宋体"/>
          <w:kern w:val="0"/>
          <w:szCs w:val="21"/>
        </w:rPr>
        <w:t>2017年12月28日</w:t>
      </w:r>
    </w:p>
    <w:p w14:paraId="2066B161">
      <w:pPr>
        <w:widowControl/>
        <w:spacing w:line="360" w:lineRule="auto"/>
        <w:jc w:val="center"/>
        <w:rPr>
          <w:rFonts w:ascii="宋体" w:eastAsia="宋体" w:cs="宋体"/>
          <w:b/>
          <w:bCs/>
          <w:kern w:val="0"/>
          <w:szCs w:val="21"/>
        </w:rPr>
      </w:pPr>
    </w:p>
    <w:p w14:paraId="31B82AAB">
      <w:pPr>
        <w:widowControl/>
        <w:spacing w:line="360" w:lineRule="auto"/>
        <w:jc w:val="center"/>
        <w:rPr>
          <w:rFonts w:ascii="宋体" w:eastAsia="宋体" w:cs="宋体"/>
          <w:kern w:val="0"/>
          <w:szCs w:val="21"/>
        </w:rPr>
      </w:pPr>
      <w:r>
        <w:rPr>
          <w:rFonts w:ascii="宋体" w:eastAsia="宋体" w:cs="宋体"/>
          <w:b/>
          <w:bCs/>
          <w:kern w:val="0"/>
          <w:szCs w:val="21"/>
        </w:rPr>
        <w:t>统计上大中小微型企业划分办法（2017）</w:t>
      </w:r>
    </w:p>
    <w:p w14:paraId="5E466A7B">
      <w:pPr>
        <w:widowControl/>
        <w:spacing w:line="360" w:lineRule="auto"/>
        <w:jc w:val="left"/>
        <w:rPr>
          <w:rFonts w:ascii="宋体" w:eastAsia="宋体" w:cs="宋体"/>
          <w:kern w:val="0"/>
          <w:szCs w:val="21"/>
        </w:rPr>
      </w:pPr>
    </w:p>
    <w:p w14:paraId="76AB9C71">
      <w:pPr>
        <w:widowControl/>
        <w:spacing w:line="360" w:lineRule="auto"/>
        <w:ind w:left="1" w:firstLine="371" w:firstLineChars="177"/>
        <w:jc w:val="left"/>
        <w:rPr>
          <w:rFonts w:ascii="宋体" w:eastAsia="宋体" w:cs="宋体"/>
          <w:kern w:val="0"/>
          <w:szCs w:val="21"/>
        </w:rPr>
      </w:pPr>
      <w:r>
        <w:rPr>
          <w:rFonts w:ascii="宋体" w:eastAsia="宋体" w:cs="宋体"/>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2C35E71D">
      <w:pPr>
        <w:widowControl/>
        <w:spacing w:line="360" w:lineRule="auto"/>
        <w:ind w:firstLine="371" w:firstLineChars="177"/>
        <w:jc w:val="left"/>
        <w:rPr>
          <w:rFonts w:ascii="宋体" w:eastAsia="宋体" w:cs="宋体"/>
          <w:kern w:val="0"/>
          <w:szCs w:val="21"/>
        </w:rPr>
      </w:pPr>
      <w:r>
        <w:rPr>
          <w:rFonts w:ascii="宋体" w:eastAsia="宋体" w:cs="宋体"/>
          <w:kern w:val="0"/>
          <w:szCs w:val="21"/>
        </w:rPr>
        <w:t>二、本办法适用对象为在中华人民共和国境内依法设立的各种组织形式的法人企业或单位。个体工商户参照本办法进行划分。</w:t>
      </w:r>
    </w:p>
    <w:p w14:paraId="6D5EE4CE">
      <w:pPr>
        <w:widowControl/>
        <w:spacing w:line="360" w:lineRule="auto"/>
        <w:ind w:firstLine="371" w:firstLineChars="177"/>
        <w:jc w:val="left"/>
        <w:rPr>
          <w:rFonts w:ascii="宋体" w:eastAsia="宋体" w:cs="宋体"/>
          <w:kern w:val="0"/>
          <w:szCs w:val="21"/>
        </w:rPr>
      </w:pPr>
      <w:r>
        <w:rPr>
          <w:rFonts w:ascii="宋体" w:eastAsia="宋体" w:cs="宋体"/>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0C35D029">
      <w:pPr>
        <w:widowControl/>
        <w:spacing w:line="360" w:lineRule="auto"/>
        <w:ind w:firstLine="371" w:firstLineChars="177"/>
        <w:jc w:val="left"/>
        <w:rPr>
          <w:rFonts w:ascii="宋体" w:eastAsia="宋体" w:cs="宋体"/>
          <w:kern w:val="0"/>
          <w:szCs w:val="21"/>
        </w:rPr>
      </w:pPr>
      <w:r>
        <w:rPr>
          <w:rFonts w:ascii="宋体" w:eastAsia="宋体" w:cs="宋体"/>
          <w:kern w:val="0"/>
          <w:szCs w:val="21"/>
        </w:rPr>
        <w:t>四、本办法按照行业门类、大类、中类和组合类别，依据从业人员、营业收入、资产总额等指标或替代指标，将我国的企业划分为大型、中型、小型、微型等四种类型。具体划分标准见附表。</w:t>
      </w:r>
    </w:p>
    <w:p w14:paraId="6F50E7D1">
      <w:pPr>
        <w:widowControl/>
        <w:spacing w:line="360" w:lineRule="auto"/>
        <w:ind w:firstLine="371" w:firstLineChars="177"/>
        <w:jc w:val="left"/>
        <w:rPr>
          <w:rFonts w:ascii="宋体" w:eastAsia="宋体" w:cs="宋体"/>
          <w:kern w:val="0"/>
          <w:szCs w:val="21"/>
        </w:rPr>
      </w:pPr>
      <w:r>
        <w:rPr>
          <w:rFonts w:ascii="宋体" w:eastAsia="宋体" w:cs="宋体"/>
          <w:kern w:val="0"/>
          <w:szCs w:val="21"/>
        </w:rPr>
        <w:t>五、企业划分由政府综合统计部门根据统计年报每年确定一次，定报统计原则上不进行调整。</w:t>
      </w:r>
    </w:p>
    <w:p w14:paraId="3A18A10B">
      <w:pPr>
        <w:widowControl/>
        <w:spacing w:line="360" w:lineRule="auto"/>
        <w:ind w:left="1" w:firstLine="371" w:firstLineChars="177"/>
        <w:jc w:val="left"/>
        <w:rPr>
          <w:rFonts w:ascii="宋体" w:eastAsia="宋体" w:cs="宋体"/>
          <w:kern w:val="0"/>
          <w:szCs w:val="21"/>
        </w:rPr>
      </w:pPr>
      <w:r>
        <w:rPr>
          <w:rFonts w:ascii="宋体" w:eastAsia="宋体" w:cs="宋体"/>
          <w:kern w:val="0"/>
          <w:szCs w:val="21"/>
        </w:rPr>
        <w:t>六、本办法自印发之日起执行，国家统计局2011年印发的《统计上大中小微型企业划分办法》（国统字〔2011〕75号）同时废止。</w:t>
      </w:r>
    </w:p>
    <w:p w14:paraId="215F5637">
      <w:pPr>
        <w:widowControl/>
        <w:spacing w:line="360" w:lineRule="auto"/>
        <w:jc w:val="left"/>
        <w:rPr>
          <w:rFonts w:ascii="宋体" w:eastAsia="宋体" w:cs="宋体"/>
          <w:kern w:val="0"/>
          <w:szCs w:val="21"/>
        </w:rPr>
      </w:pPr>
    </w:p>
    <w:p w14:paraId="6A43DA0D">
      <w:pPr>
        <w:widowControl/>
        <w:spacing w:line="360" w:lineRule="auto"/>
        <w:jc w:val="left"/>
        <w:rPr>
          <w:rFonts w:ascii="宋体" w:eastAsia="宋体" w:cs="宋体"/>
          <w:kern w:val="0"/>
          <w:szCs w:val="21"/>
        </w:rPr>
      </w:pPr>
      <w:r>
        <w:rPr>
          <w:rFonts w:ascii="宋体" w:eastAsia="宋体" w:cs="宋体"/>
          <w:kern w:val="0"/>
          <w:szCs w:val="21"/>
        </w:rPr>
        <w:t>附件</w:t>
      </w:r>
    </w:p>
    <w:p w14:paraId="6A2E9235">
      <w:pPr>
        <w:widowControl/>
        <w:spacing w:line="360" w:lineRule="auto"/>
        <w:jc w:val="center"/>
        <w:rPr>
          <w:rFonts w:ascii="宋体" w:eastAsia="宋体" w:cs="宋体"/>
          <w:kern w:val="0"/>
          <w:szCs w:val="21"/>
        </w:rPr>
      </w:pPr>
      <w:r>
        <w:rPr>
          <w:rFonts w:ascii="宋体" w:eastAsia="宋体" w:cs="宋体"/>
          <w:b/>
          <w:bCs/>
          <w:kern w:val="0"/>
          <w:szCs w:val="21"/>
        </w:rPr>
        <w:t>《统计上大中小微型企业划分办法（2017）》修订说明</w:t>
      </w:r>
    </w:p>
    <w:p w14:paraId="046E692C">
      <w:pPr>
        <w:widowControl/>
        <w:spacing w:line="360" w:lineRule="auto"/>
        <w:jc w:val="left"/>
        <w:rPr>
          <w:rFonts w:ascii="宋体" w:eastAsia="宋体" w:cs="宋体"/>
          <w:kern w:val="0"/>
          <w:szCs w:val="21"/>
        </w:rPr>
      </w:pPr>
    </w:p>
    <w:p w14:paraId="2DEEB64F">
      <w:pPr>
        <w:widowControl/>
        <w:spacing w:line="360" w:lineRule="auto"/>
        <w:ind w:firstLine="371" w:firstLineChars="177"/>
        <w:jc w:val="left"/>
        <w:rPr>
          <w:rFonts w:ascii="宋体" w:eastAsia="宋体" w:cs="宋体"/>
          <w:kern w:val="0"/>
          <w:szCs w:val="21"/>
        </w:rPr>
      </w:pPr>
      <w:r>
        <w:rPr>
          <w:rFonts w:ascii="宋体" w:eastAsia="宋体" w:cs="宋体"/>
          <w:kern w:val="0"/>
          <w:szCs w:val="21"/>
        </w:rPr>
        <w:t>一、修订背景</w:t>
      </w:r>
    </w:p>
    <w:p w14:paraId="38911905">
      <w:pPr>
        <w:widowControl/>
        <w:spacing w:line="360" w:lineRule="auto"/>
        <w:ind w:firstLine="371" w:firstLineChars="177"/>
        <w:jc w:val="left"/>
        <w:rPr>
          <w:rFonts w:ascii="宋体" w:eastAsia="宋体" w:cs="宋体"/>
          <w:kern w:val="0"/>
          <w:szCs w:val="21"/>
        </w:rPr>
      </w:pPr>
      <w:r>
        <w:rPr>
          <w:rFonts w:ascii="宋体" w:eastAsia="宋体" w:cs="宋体"/>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22B2FD86">
      <w:pPr>
        <w:widowControl/>
        <w:spacing w:line="360" w:lineRule="auto"/>
        <w:ind w:firstLine="371" w:firstLineChars="177"/>
        <w:jc w:val="left"/>
        <w:rPr>
          <w:rFonts w:ascii="宋体" w:eastAsia="宋体" w:cs="宋体"/>
          <w:kern w:val="0"/>
          <w:szCs w:val="21"/>
        </w:rPr>
      </w:pPr>
      <w:r>
        <w:rPr>
          <w:rFonts w:ascii="宋体" w:eastAsia="宋体" w:cs="宋体"/>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767508E5">
      <w:pPr>
        <w:widowControl/>
        <w:spacing w:line="360" w:lineRule="auto"/>
        <w:ind w:firstLine="371" w:firstLineChars="177"/>
        <w:jc w:val="left"/>
        <w:rPr>
          <w:rFonts w:ascii="宋体" w:eastAsia="宋体" w:cs="宋体"/>
          <w:kern w:val="0"/>
          <w:szCs w:val="21"/>
        </w:rPr>
      </w:pPr>
      <w:r>
        <w:rPr>
          <w:rFonts w:ascii="宋体" w:eastAsia="宋体" w:cs="宋体"/>
          <w:kern w:val="0"/>
          <w:szCs w:val="21"/>
        </w:rPr>
        <w:t>二、修订主要内容</w:t>
      </w:r>
    </w:p>
    <w:p w14:paraId="5BB290D5">
      <w:pPr>
        <w:widowControl/>
        <w:spacing w:line="360" w:lineRule="auto"/>
        <w:ind w:firstLine="371" w:firstLineChars="177"/>
        <w:jc w:val="left"/>
        <w:rPr>
          <w:rFonts w:ascii="宋体" w:eastAsia="宋体" w:cs="宋体"/>
          <w:kern w:val="0"/>
          <w:szCs w:val="21"/>
        </w:rPr>
      </w:pPr>
      <w:r>
        <w:rPr>
          <w:rFonts w:ascii="宋体" w:eastAsia="宋体" w:cs="宋体"/>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10EE641F">
      <w:pPr>
        <w:widowControl/>
        <w:spacing w:line="360" w:lineRule="auto"/>
        <w:ind w:firstLine="371" w:firstLineChars="177"/>
        <w:jc w:val="left"/>
        <w:rPr>
          <w:rFonts w:ascii="宋体" w:eastAsia="宋体" w:cs="宋体"/>
          <w:kern w:val="0"/>
          <w:szCs w:val="21"/>
        </w:rPr>
      </w:pPr>
      <w:r>
        <w:rPr>
          <w:rFonts w:ascii="宋体" w:eastAsia="宋体" w:cs="宋体"/>
          <w:kern w:val="0"/>
          <w:szCs w:val="21"/>
        </w:rPr>
        <w:t>将交通运输业中包括的“装卸搬运和运输代理业”修改为“多式联运和运输代理业、装卸搬运”。</w:t>
      </w:r>
    </w:p>
    <w:p w14:paraId="219A7EA7">
      <w:pPr>
        <w:widowControl/>
        <w:spacing w:line="360" w:lineRule="auto"/>
        <w:jc w:val="left"/>
        <w:rPr>
          <w:rFonts w:ascii="宋体" w:eastAsia="宋体" w:cs="宋体"/>
          <w:kern w:val="0"/>
          <w:szCs w:val="21"/>
        </w:rPr>
      </w:pPr>
      <w:r>
        <w:rPr>
          <w:rFonts w:ascii="宋体" w:eastAsia="宋体" w:cs="宋体"/>
          <w:kern w:val="0"/>
          <w:szCs w:val="21"/>
        </w:rPr>
        <w:t>仓储业所包括的</w:t>
      </w:r>
      <w:r>
        <w:rPr>
          <w:rFonts w:hint="eastAsia" w:ascii="宋体" w:eastAsia="宋体" w:cs="宋体"/>
          <w:kern w:val="0"/>
          <w:szCs w:val="21"/>
          <w:lang w:eastAsia="zh-CN"/>
        </w:rPr>
        <w:t>行业种类</w:t>
      </w:r>
      <w:r>
        <w:rPr>
          <w:rFonts w:ascii="宋体" w:eastAsia="宋体" w:cs="宋体"/>
          <w:kern w:val="0"/>
          <w:szCs w:val="21"/>
        </w:rPr>
        <w:t>，根据《国民经济行业分类》（GB/T 4754—2017）调整为“通用仓储，低温仓储，危险品仓储，谷物、棉花等农产品仓储，中药材仓储和其他仓储业”。</w:t>
      </w:r>
    </w:p>
    <w:p w14:paraId="1B58C35C">
      <w:pPr>
        <w:widowControl/>
        <w:spacing w:line="360" w:lineRule="auto"/>
        <w:jc w:val="left"/>
        <w:rPr>
          <w:rFonts w:ascii="宋体" w:eastAsia="宋体" w:cs="宋体"/>
          <w:kern w:val="0"/>
          <w:szCs w:val="21"/>
        </w:rPr>
      </w:pPr>
    </w:p>
    <w:p w14:paraId="100C8BCF">
      <w:pPr>
        <w:widowControl/>
        <w:spacing w:line="360" w:lineRule="auto"/>
        <w:jc w:val="left"/>
        <w:rPr>
          <w:rFonts w:ascii="宋体" w:eastAsia="宋体" w:cs="宋体"/>
          <w:kern w:val="0"/>
          <w:szCs w:val="21"/>
        </w:rPr>
      </w:pPr>
      <w:r>
        <w:rPr>
          <w:rFonts w:ascii="宋体" w:eastAsia="宋体" w:cs="宋体"/>
          <w:kern w:val="0"/>
          <w:szCs w:val="21"/>
        </w:rPr>
        <w:t>附表</w:t>
      </w:r>
    </w:p>
    <w:p w14:paraId="40D0D306">
      <w:pPr>
        <w:widowControl/>
        <w:spacing w:line="360" w:lineRule="auto"/>
        <w:jc w:val="center"/>
        <w:rPr>
          <w:rFonts w:ascii="宋体" w:eastAsia="宋体" w:cs="宋体"/>
          <w:kern w:val="0"/>
          <w:szCs w:val="21"/>
        </w:rPr>
      </w:pPr>
      <w:r>
        <w:rPr>
          <w:rFonts w:ascii="宋体" w:eastAsia="宋体" w:cs="宋体"/>
          <w:b/>
          <w:bCs/>
          <w:kern w:val="0"/>
          <w:szCs w:val="21"/>
        </w:rPr>
        <w:t>统计上大中小微型企业划分标准</w:t>
      </w:r>
    </w:p>
    <w:tbl>
      <w:tblPr>
        <w:tblStyle w:val="42"/>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13"/>
        <w:gridCol w:w="1369"/>
        <w:gridCol w:w="709"/>
        <w:gridCol w:w="1125"/>
        <w:gridCol w:w="1701"/>
        <w:gridCol w:w="1426"/>
        <w:gridCol w:w="992"/>
      </w:tblGrid>
      <w:tr w14:paraId="78038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382C9A9D">
            <w:pPr>
              <w:widowControl/>
              <w:spacing w:line="240" w:lineRule="exact"/>
              <w:jc w:val="center"/>
              <w:rPr>
                <w:rFonts w:ascii="宋体" w:cs="宋体"/>
                <w:b/>
                <w:bCs/>
                <w:color w:val="000000"/>
                <w:kern w:val="0"/>
                <w:sz w:val="18"/>
                <w:szCs w:val="21"/>
              </w:rPr>
            </w:pPr>
            <w:r>
              <w:rPr>
                <w:rFonts w:hint="eastAsia" w:asci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7B48DE5D">
            <w:pPr>
              <w:widowControl/>
              <w:jc w:val="center"/>
              <w:rPr>
                <w:rFonts w:ascii="宋体" w:cs="宋体"/>
                <w:b/>
                <w:bCs/>
                <w:color w:val="000000"/>
                <w:kern w:val="0"/>
                <w:sz w:val="18"/>
                <w:szCs w:val="18"/>
              </w:rPr>
            </w:pPr>
            <w:r>
              <w:rPr>
                <w:rFonts w:hint="eastAsia" w:asci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3EC0987B">
            <w:pPr>
              <w:widowControl/>
              <w:jc w:val="center"/>
              <w:rPr>
                <w:rFonts w:ascii="宋体" w:cs="宋体"/>
                <w:b/>
                <w:bCs/>
                <w:color w:val="000000"/>
                <w:kern w:val="0"/>
                <w:sz w:val="18"/>
                <w:szCs w:val="18"/>
              </w:rPr>
            </w:pPr>
            <w:r>
              <w:rPr>
                <w:rFonts w:hint="eastAsia" w:ascii="宋体" w:cs="宋体"/>
                <w:b/>
                <w:bCs/>
                <w:color w:val="000000"/>
                <w:kern w:val="0"/>
                <w:sz w:val="18"/>
                <w:szCs w:val="18"/>
              </w:rPr>
              <w:t>计量</w:t>
            </w:r>
            <w:r>
              <w:rPr>
                <w:rFonts w:hint="eastAsia" w:ascii="宋体" w:cs="宋体"/>
                <w:b/>
                <w:bCs/>
                <w:color w:val="000000"/>
                <w:kern w:val="0"/>
                <w:sz w:val="18"/>
                <w:szCs w:val="18"/>
              </w:rPr>
              <w:br w:type="textWrapping"/>
            </w:r>
            <w:r>
              <w:rPr>
                <w:rFonts w:hint="eastAsia" w:asci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4D061CCA">
            <w:pPr>
              <w:widowControl/>
              <w:jc w:val="center"/>
              <w:rPr>
                <w:rFonts w:ascii="宋体" w:cs="宋体"/>
                <w:b/>
                <w:bCs/>
                <w:color w:val="000000"/>
                <w:kern w:val="0"/>
                <w:sz w:val="18"/>
                <w:szCs w:val="18"/>
              </w:rPr>
            </w:pPr>
            <w:r>
              <w:rPr>
                <w:rFonts w:hint="eastAsia" w:asci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22847317">
            <w:pPr>
              <w:widowControl/>
              <w:jc w:val="center"/>
              <w:rPr>
                <w:rFonts w:ascii="宋体" w:cs="宋体"/>
                <w:b/>
                <w:bCs/>
                <w:color w:val="000000"/>
                <w:kern w:val="0"/>
                <w:sz w:val="18"/>
                <w:szCs w:val="18"/>
              </w:rPr>
            </w:pPr>
            <w:r>
              <w:rPr>
                <w:rFonts w:hint="eastAsia" w:asci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54858124">
            <w:pPr>
              <w:widowControl/>
              <w:jc w:val="center"/>
              <w:rPr>
                <w:rFonts w:ascii="宋体" w:cs="宋体"/>
                <w:b/>
                <w:bCs/>
                <w:color w:val="000000"/>
                <w:kern w:val="0"/>
                <w:sz w:val="18"/>
                <w:szCs w:val="18"/>
              </w:rPr>
            </w:pPr>
            <w:r>
              <w:rPr>
                <w:rFonts w:hint="eastAsia" w:asci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11359404">
            <w:pPr>
              <w:widowControl/>
              <w:jc w:val="center"/>
              <w:rPr>
                <w:rFonts w:ascii="宋体" w:cs="宋体"/>
                <w:b/>
                <w:bCs/>
                <w:color w:val="000000"/>
                <w:kern w:val="0"/>
                <w:sz w:val="18"/>
                <w:szCs w:val="18"/>
              </w:rPr>
            </w:pPr>
            <w:r>
              <w:rPr>
                <w:rFonts w:hint="eastAsia" w:ascii="宋体" w:cs="宋体"/>
                <w:b/>
                <w:bCs/>
                <w:color w:val="000000"/>
                <w:kern w:val="0"/>
                <w:sz w:val="18"/>
                <w:szCs w:val="18"/>
              </w:rPr>
              <w:t>微型</w:t>
            </w:r>
          </w:p>
        </w:tc>
      </w:tr>
      <w:tr w14:paraId="1A7E8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2AA8D03">
            <w:pPr>
              <w:widowControl/>
              <w:spacing w:line="240" w:lineRule="exact"/>
              <w:jc w:val="left"/>
              <w:rPr>
                <w:rFonts w:ascii="宋体" w:cs="宋体"/>
                <w:color w:val="000000"/>
                <w:kern w:val="0"/>
                <w:sz w:val="18"/>
                <w:szCs w:val="18"/>
              </w:rPr>
            </w:pPr>
            <w:r>
              <w:rPr>
                <w:rFonts w:hint="eastAsia" w:asci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08FFFB9F">
            <w:pPr>
              <w:widowControl/>
              <w:jc w:val="center"/>
              <w:rPr>
                <w:rFonts w:ascii="宋体" w:cs="宋体"/>
                <w:color w:val="000000"/>
                <w:kern w:val="0"/>
                <w:sz w:val="18"/>
                <w:szCs w:val="18"/>
              </w:rPr>
            </w:pPr>
            <w:r>
              <w:rPr>
                <w:rFonts w:hint="eastAsia" w:asci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B611BF9">
            <w:pPr>
              <w:widowControl/>
              <w:jc w:val="center"/>
              <w:rPr>
                <w:rFonts w:ascii="宋体" w:cs="宋体"/>
                <w:color w:val="000000"/>
                <w:kern w:val="0"/>
                <w:sz w:val="18"/>
                <w:szCs w:val="18"/>
              </w:rPr>
            </w:pPr>
            <w:r>
              <w:rPr>
                <w:rFonts w:hint="eastAsia" w:asci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E3C382E">
            <w:pPr>
              <w:widowControl/>
              <w:jc w:val="center"/>
              <w:rPr>
                <w:rFonts w:ascii="宋体" w:cs="宋体"/>
                <w:color w:val="000000"/>
                <w:kern w:val="0"/>
                <w:sz w:val="18"/>
                <w:szCs w:val="18"/>
              </w:rPr>
            </w:pPr>
            <w:r>
              <w:rPr>
                <w:rFonts w:hint="eastAsia" w:asci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4DD5D0DA">
            <w:pPr>
              <w:widowControl/>
              <w:jc w:val="center"/>
              <w:rPr>
                <w:rFonts w:ascii="宋体" w:cs="宋体"/>
                <w:color w:val="000000"/>
                <w:kern w:val="0"/>
                <w:sz w:val="18"/>
                <w:szCs w:val="18"/>
              </w:rPr>
            </w:pPr>
            <w:r>
              <w:rPr>
                <w:rFonts w:hint="eastAsia" w:asci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2C96C0F">
            <w:pPr>
              <w:widowControl/>
              <w:jc w:val="center"/>
              <w:rPr>
                <w:rFonts w:ascii="宋体" w:cs="宋体"/>
                <w:color w:val="000000"/>
                <w:kern w:val="0"/>
                <w:sz w:val="18"/>
                <w:szCs w:val="18"/>
              </w:rPr>
            </w:pPr>
            <w:r>
              <w:rPr>
                <w:rFonts w:hint="eastAsia" w:asci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09298ECF">
            <w:pPr>
              <w:widowControl/>
              <w:jc w:val="center"/>
              <w:rPr>
                <w:rFonts w:ascii="宋体" w:cs="宋体"/>
                <w:color w:val="000000"/>
                <w:kern w:val="0"/>
                <w:sz w:val="18"/>
                <w:szCs w:val="18"/>
              </w:rPr>
            </w:pPr>
            <w:r>
              <w:rPr>
                <w:rFonts w:hint="eastAsia" w:ascii="宋体" w:cs="宋体"/>
                <w:color w:val="000000"/>
                <w:kern w:val="0"/>
                <w:sz w:val="18"/>
                <w:szCs w:val="18"/>
              </w:rPr>
              <w:t>Y＜50</w:t>
            </w:r>
          </w:p>
        </w:tc>
      </w:tr>
      <w:tr w14:paraId="5DBB1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6B86E11">
            <w:pPr>
              <w:widowControl/>
              <w:spacing w:line="240" w:lineRule="exact"/>
              <w:jc w:val="left"/>
              <w:rPr>
                <w:rFonts w:ascii="宋体" w:cs="宋体"/>
                <w:color w:val="000000"/>
                <w:kern w:val="0"/>
                <w:sz w:val="18"/>
                <w:szCs w:val="18"/>
              </w:rPr>
            </w:pPr>
            <w:r>
              <w:rPr>
                <w:rFonts w:hint="eastAsia" w:asci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4786A736">
            <w:pPr>
              <w:widowControl/>
              <w:jc w:val="center"/>
              <w:rPr>
                <w:rFonts w:ascii="宋体" w:cs="宋体"/>
                <w:color w:val="000000"/>
                <w:kern w:val="0"/>
                <w:sz w:val="18"/>
                <w:szCs w:val="18"/>
              </w:rPr>
            </w:pPr>
            <w:r>
              <w:rPr>
                <w:rFonts w:hint="eastAsia" w:asci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66997CD">
            <w:pPr>
              <w:widowControl/>
              <w:jc w:val="center"/>
              <w:rPr>
                <w:rFonts w:ascii="宋体" w:cs="宋体"/>
                <w:color w:val="000000"/>
                <w:kern w:val="0"/>
                <w:sz w:val="18"/>
                <w:szCs w:val="18"/>
              </w:rPr>
            </w:pPr>
            <w:r>
              <w:rPr>
                <w:rFonts w:hint="eastAsia" w:asci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6ABF19A">
            <w:pPr>
              <w:widowControl/>
              <w:jc w:val="center"/>
              <w:rPr>
                <w:rFonts w:ascii="宋体" w:cs="宋体"/>
                <w:color w:val="000000"/>
                <w:kern w:val="0"/>
                <w:sz w:val="18"/>
                <w:szCs w:val="18"/>
              </w:rPr>
            </w:pPr>
            <w:r>
              <w:rPr>
                <w:rFonts w:hint="eastAsia" w:asci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5985B23">
            <w:pPr>
              <w:widowControl/>
              <w:jc w:val="center"/>
              <w:rPr>
                <w:rFonts w:ascii="宋体" w:cs="宋体"/>
                <w:color w:val="000000"/>
                <w:kern w:val="0"/>
                <w:sz w:val="18"/>
                <w:szCs w:val="18"/>
              </w:rPr>
            </w:pPr>
            <w:r>
              <w:rPr>
                <w:rFonts w:hint="eastAsia" w:asci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64268878">
            <w:pPr>
              <w:widowControl/>
              <w:jc w:val="center"/>
              <w:rPr>
                <w:rFonts w:ascii="宋体" w:cs="宋体"/>
                <w:color w:val="000000"/>
                <w:kern w:val="0"/>
                <w:sz w:val="18"/>
                <w:szCs w:val="18"/>
              </w:rPr>
            </w:pPr>
            <w:r>
              <w:rPr>
                <w:rFonts w:hint="eastAsia" w:asci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3EEABA69">
            <w:pPr>
              <w:widowControl/>
              <w:jc w:val="center"/>
              <w:rPr>
                <w:rFonts w:ascii="宋体" w:cs="宋体"/>
                <w:color w:val="000000"/>
                <w:kern w:val="0"/>
                <w:sz w:val="18"/>
                <w:szCs w:val="18"/>
              </w:rPr>
            </w:pPr>
            <w:r>
              <w:rPr>
                <w:rFonts w:hint="eastAsia" w:ascii="宋体" w:cs="宋体"/>
                <w:color w:val="000000"/>
                <w:kern w:val="0"/>
                <w:sz w:val="18"/>
                <w:szCs w:val="18"/>
              </w:rPr>
              <w:t>X＜20</w:t>
            </w:r>
          </w:p>
        </w:tc>
      </w:tr>
      <w:tr w14:paraId="59FF9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85E1EA6"/>
        </w:tc>
        <w:tc>
          <w:tcPr>
            <w:tcW w:w="1369" w:type="dxa"/>
            <w:tcBorders>
              <w:top w:val="nil"/>
              <w:left w:val="nil"/>
              <w:bottom w:val="single" w:color="auto" w:sz="4" w:space="0"/>
              <w:right w:val="single" w:color="auto" w:sz="4" w:space="0"/>
            </w:tcBorders>
            <w:shd w:val="clear" w:color="auto" w:fill="auto"/>
            <w:vAlign w:val="center"/>
          </w:tcPr>
          <w:p w14:paraId="7759F124">
            <w:pPr>
              <w:widowControl/>
              <w:spacing w:line="240" w:lineRule="exact"/>
              <w:jc w:val="center"/>
              <w:rPr>
                <w:rFonts w:ascii="宋体" w:cs="宋体"/>
                <w:color w:val="000000"/>
                <w:kern w:val="0"/>
                <w:sz w:val="18"/>
                <w:szCs w:val="18"/>
              </w:rPr>
            </w:pPr>
            <w:r>
              <w:rPr>
                <w:rFonts w:hint="eastAsia" w:asci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A49C321">
            <w:pPr>
              <w:widowControl/>
              <w:jc w:val="center"/>
              <w:rPr>
                <w:rFonts w:ascii="宋体" w:cs="宋体"/>
                <w:color w:val="000000"/>
                <w:kern w:val="0"/>
                <w:sz w:val="18"/>
                <w:szCs w:val="18"/>
              </w:rPr>
            </w:pPr>
            <w:r>
              <w:rPr>
                <w:rFonts w:hint="eastAsia" w:asci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3E3455D">
            <w:pPr>
              <w:widowControl/>
              <w:jc w:val="center"/>
              <w:rPr>
                <w:rFonts w:ascii="宋体" w:cs="宋体"/>
                <w:color w:val="000000"/>
                <w:kern w:val="0"/>
                <w:sz w:val="18"/>
                <w:szCs w:val="18"/>
              </w:rPr>
            </w:pPr>
            <w:r>
              <w:rPr>
                <w:rFonts w:hint="eastAsia" w:asci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7A4AFD7">
            <w:pPr>
              <w:widowControl/>
              <w:jc w:val="center"/>
              <w:rPr>
                <w:rFonts w:ascii="宋体" w:cs="宋体"/>
                <w:color w:val="000000"/>
                <w:kern w:val="0"/>
                <w:sz w:val="18"/>
                <w:szCs w:val="18"/>
              </w:rPr>
            </w:pPr>
            <w:r>
              <w:rPr>
                <w:rFonts w:hint="eastAsia" w:asci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1B144C1D">
            <w:pPr>
              <w:widowControl/>
              <w:jc w:val="center"/>
              <w:rPr>
                <w:rFonts w:ascii="宋体" w:cs="宋体"/>
                <w:color w:val="000000"/>
                <w:kern w:val="0"/>
                <w:sz w:val="18"/>
                <w:szCs w:val="18"/>
              </w:rPr>
            </w:pPr>
            <w:r>
              <w:rPr>
                <w:rFonts w:hint="eastAsia" w:asci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0C426408">
            <w:pPr>
              <w:widowControl/>
              <w:jc w:val="center"/>
              <w:rPr>
                <w:rFonts w:ascii="宋体" w:cs="宋体"/>
                <w:color w:val="000000"/>
                <w:kern w:val="0"/>
                <w:sz w:val="18"/>
                <w:szCs w:val="18"/>
              </w:rPr>
            </w:pPr>
            <w:r>
              <w:rPr>
                <w:rFonts w:hint="eastAsia" w:ascii="宋体" w:cs="宋体"/>
                <w:color w:val="000000"/>
                <w:kern w:val="0"/>
                <w:sz w:val="18"/>
                <w:szCs w:val="18"/>
              </w:rPr>
              <w:t>Y＜300</w:t>
            </w:r>
          </w:p>
        </w:tc>
      </w:tr>
      <w:tr w14:paraId="26AC5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9F31E49">
            <w:pPr>
              <w:widowControl/>
              <w:spacing w:line="240" w:lineRule="exact"/>
              <w:jc w:val="left"/>
              <w:rPr>
                <w:rFonts w:ascii="宋体" w:cs="宋体"/>
                <w:color w:val="000000"/>
                <w:kern w:val="0"/>
                <w:sz w:val="18"/>
                <w:szCs w:val="18"/>
              </w:rPr>
            </w:pPr>
            <w:r>
              <w:rPr>
                <w:rFonts w:hint="eastAsia" w:asci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3ABB804D">
            <w:pPr>
              <w:widowControl/>
              <w:jc w:val="center"/>
              <w:rPr>
                <w:rFonts w:ascii="宋体" w:cs="宋体"/>
                <w:color w:val="000000"/>
                <w:kern w:val="0"/>
                <w:sz w:val="18"/>
                <w:szCs w:val="18"/>
              </w:rPr>
            </w:pPr>
            <w:r>
              <w:rPr>
                <w:rFonts w:hint="eastAsia" w:asci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BDBAC35">
            <w:pPr>
              <w:widowControl/>
              <w:jc w:val="center"/>
              <w:rPr>
                <w:rFonts w:ascii="宋体" w:cs="宋体"/>
                <w:color w:val="000000"/>
                <w:kern w:val="0"/>
                <w:sz w:val="18"/>
                <w:szCs w:val="18"/>
              </w:rPr>
            </w:pPr>
            <w:r>
              <w:rPr>
                <w:rFonts w:hint="eastAsia" w:asci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47E550F1">
            <w:pPr>
              <w:widowControl/>
              <w:jc w:val="center"/>
              <w:rPr>
                <w:rFonts w:ascii="宋体" w:cs="宋体"/>
                <w:color w:val="000000"/>
                <w:kern w:val="0"/>
                <w:sz w:val="18"/>
                <w:szCs w:val="18"/>
              </w:rPr>
            </w:pPr>
            <w:r>
              <w:rPr>
                <w:rFonts w:hint="eastAsia" w:asci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2D0741ED">
            <w:pPr>
              <w:widowControl/>
              <w:jc w:val="center"/>
              <w:rPr>
                <w:rFonts w:ascii="宋体" w:cs="宋体"/>
                <w:color w:val="000000"/>
                <w:kern w:val="0"/>
                <w:sz w:val="18"/>
                <w:szCs w:val="18"/>
              </w:rPr>
            </w:pPr>
            <w:r>
              <w:rPr>
                <w:rFonts w:hint="eastAsia" w:asci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0C045048">
            <w:pPr>
              <w:widowControl/>
              <w:jc w:val="center"/>
              <w:rPr>
                <w:rFonts w:ascii="宋体" w:cs="宋体"/>
                <w:color w:val="000000"/>
                <w:kern w:val="0"/>
                <w:sz w:val="18"/>
                <w:szCs w:val="18"/>
              </w:rPr>
            </w:pPr>
            <w:r>
              <w:rPr>
                <w:rFonts w:hint="eastAsia" w:asci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70B15E64">
            <w:pPr>
              <w:widowControl/>
              <w:jc w:val="center"/>
              <w:rPr>
                <w:rFonts w:ascii="宋体" w:cs="宋体"/>
                <w:color w:val="000000"/>
                <w:kern w:val="0"/>
                <w:sz w:val="18"/>
                <w:szCs w:val="18"/>
              </w:rPr>
            </w:pPr>
            <w:r>
              <w:rPr>
                <w:rFonts w:hint="eastAsia" w:ascii="宋体" w:cs="宋体"/>
                <w:color w:val="000000"/>
                <w:kern w:val="0"/>
                <w:sz w:val="18"/>
                <w:szCs w:val="18"/>
              </w:rPr>
              <w:t>Y＜300</w:t>
            </w:r>
          </w:p>
        </w:tc>
      </w:tr>
      <w:tr w14:paraId="5CCDD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008E1DA"/>
        </w:tc>
        <w:tc>
          <w:tcPr>
            <w:tcW w:w="1369" w:type="dxa"/>
            <w:tcBorders>
              <w:top w:val="nil"/>
              <w:left w:val="nil"/>
              <w:bottom w:val="single" w:color="auto" w:sz="4" w:space="0"/>
              <w:right w:val="single" w:color="auto" w:sz="4" w:space="0"/>
            </w:tcBorders>
            <w:shd w:val="clear" w:color="auto" w:fill="auto"/>
            <w:vAlign w:val="center"/>
          </w:tcPr>
          <w:p w14:paraId="3D6E8627">
            <w:pPr>
              <w:widowControl/>
              <w:spacing w:line="240" w:lineRule="exact"/>
              <w:jc w:val="center"/>
              <w:rPr>
                <w:rFonts w:ascii="宋体" w:cs="宋体"/>
                <w:color w:val="000000"/>
                <w:kern w:val="0"/>
                <w:sz w:val="18"/>
                <w:szCs w:val="18"/>
              </w:rPr>
            </w:pPr>
            <w:r>
              <w:rPr>
                <w:rFonts w:hint="eastAsia" w:asci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21CED59E">
            <w:pPr>
              <w:widowControl/>
              <w:jc w:val="center"/>
              <w:rPr>
                <w:rFonts w:ascii="宋体" w:cs="宋体"/>
                <w:color w:val="000000"/>
                <w:kern w:val="0"/>
                <w:sz w:val="18"/>
                <w:szCs w:val="18"/>
              </w:rPr>
            </w:pPr>
            <w:r>
              <w:rPr>
                <w:rFonts w:hint="eastAsia" w:asci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C5F1649">
            <w:pPr>
              <w:widowControl/>
              <w:jc w:val="center"/>
              <w:rPr>
                <w:rFonts w:ascii="宋体" w:cs="宋体"/>
                <w:color w:val="000000"/>
                <w:kern w:val="0"/>
                <w:sz w:val="18"/>
                <w:szCs w:val="18"/>
              </w:rPr>
            </w:pPr>
            <w:r>
              <w:rPr>
                <w:rFonts w:hint="eastAsia" w:asci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732ADE83">
            <w:pPr>
              <w:widowControl/>
              <w:jc w:val="center"/>
              <w:rPr>
                <w:rFonts w:ascii="宋体" w:cs="宋体"/>
                <w:color w:val="000000"/>
                <w:kern w:val="0"/>
                <w:sz w:val="18"/>
                <w:szCs w:val="18"/>
              </w:rPr>
            </w:pPr>
            <w:r>
              <w:rPr>
                <w:rFonts w:hint="eastAsia" w:asci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1E32A142">
            <w:pPr>
              <w:widowControl/>
              <w:jc w:val="center"/>
              <w:rPr>
                <w:rFonts w:ascii="宋体" w:cs="宋体"/>
                <w:color w:val="000000"/>
                <w:kern w:val="0"/>
                <w:sz w:val="18"/>
                <w:szCs w:val="18"/>
              </w:rPr>
            </w:pPr>
            <w:r>
              <w:rPr>
                <w:rFonts w:hint="eastAsia" w:asci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233F78C5">
            <w:pPr>
              <w:widowControl/>
              <w:jc w:val="center"/>
              <w:rPr>
                <w:rFonts w:ascii="宋体" w:cs="宋体"/>
                <w:color w:val="000000"/>
                <w:kern w:val="0"/>
                <w:sz w:val="18"/>
                <w:szCs w:val="18"/>
              </w:rPr>
            </w:pPr>
            <w:r>
              <w:rPr>
                <w:rFonts w:hint="eastAsia" w:ascii="宋体" w:cs="宋体"/>
                <w:color w:val="000000"/>
                <w:kern w:val="0"/>
                <w:sz w:val="18"/>
                <w:szCs w:val="18"/>
              </w:rPr>
              <w:t>Z＜300</w:t>
            </w:r>
          </w:p>
        </w:tc>
      </w:tr>
      <w:tr w14:paraId="54515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8A659A3">
            <w:pPr>
              <w:widowControl/>
              <w:spacing w:line="240" w:lineRule="exact"/>
              <w:jc w:val="left"/>
              <w:rPr>
                <w:rFonts w:ascii="宋体" w:cs="宋体"/>
                <w:color w:val="000000"/>
                <w:kern w:val="0"/>
                <w:sz w:val="18"/>
                <w:szCs w:val="18"/>
              </w:rPr>
            </w:pPr>
            <w:r>
              <w:rPr>
                <w:rFonts w:hint="eastAsia" w:asci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7E2B2E6B">
            <w:pPr>
              <w:widowControl/>
              <w:jc w:val="center"/>
              <w:rPr>
                <w:rFonts w:ascii="宋体" w:cs="宋体"/>
                <w:color w:val="000000"/>
                <w:kern w:val="0"/>
                <w:sz w:val="18"/>
                <w:szCs w:val="18"/>
              </w:rPr>
            </w:pPr>
            <w:r>
              <w:rPr>
                <w:rFonts w:hint="eastAsia" w:asci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24AA28B">
            <w:pPr>
              <w:widowControl/>
              <w:jc w:val="center"/>
              <w:rPr>
                <w:rFonts w:ascii="宋体" w:cs="宋体"/>
                <w:color w:val="000000"/>
                <w:kern w:val="0"/>
                <w:sz w:val="18"/>
                <w:szCs w:val="18"/>
              </w:rPr>
            </w:pPr>
            <w:r>
              <w:rPr>
                <w:rFonts w:hint="eastAsia" w:asci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1BB4B57">
            <w:pPr>
              <w:widowControl/>
              <w:jc w:val="center"/>
              <w:rPr>
                <w:rFonts w:ascii="宋体" w:cs="宋体"/>
                <w:color w:val="000000"/>
                <w:kern w:val="0"/>
                <w:sz w:val="18"/>
                <w:szCs w:val="18"/>
              </w:rPr>
            </w:pPr>
            <w:r>
              <w:rPr>
                <w:rFonts w:hint="eastAsia" w:asci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2C7EFA59">
            <w:pPr>
              <w:widowControl/>
              <w:jc w:val="center"/>
              <w:rPr>
                <w:rFonts w:ascii="宋体" w:cs="宋体"/>
                <w:color w:val="000000"/>
                <w:kern w:val="0"/>
                <w:sz w:val="18"/>
                <w:szCs w:val="18"/>
              </w:rPr>
            </w:pPr>
            <w:r>
              <w:rPr>
                <w:rFonts w:hint="eastAsia" w:asci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64572D5C">
            <w:pPr>
              <w:widowControl/>
              <w:jc w:val="center"/>
              <w:rPr>
                <w:rFonts w:ascii="宋体" w:cs="宋体"/>
                <w:color w:val="000000"/>
                <w:kern w:val="0"/>
                <w:sz w:val="18"/>
                <w:szCs w:val="18"/>
              </w:rPr>
            </w:pPr>
            <w:r>
              <w:rPr>
                <w:rFonts w:hint="eastAsia" w:asci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3B591B6A">
            <w:pPr>
              <w:widowControl/>
              <w:jc w:val="center"/>
              <w:rPr>
                <w:rFonts w:ascii="宋体" w:cs="宋体"/>
                <w:color w:val="000000"/>
                <w:kern w:val="0"/>
                <w:sz w:val="18"/>
                <w:szCs w:val="18"/>
              </w:rPr>
            </w:pPr>
            <w:r>
              <w:rPr>
                <w:rFonts w:hint="eastAsia" w:ascii="宋体" w:cs="宋体"/>
                <w:color w:val="000000"/>
                <w:kern w:val="0"/>
                <w:sz w:val="18"/>
                <w:szCs w:val="18"/>
              </w:rPr>
              <w:t>X＜5</w:t>
            </w:r>
          </w:p>
        </w:tc>
      </w:tr>
      <w:tr w14:paraId="5D0E8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0275CCA"/>
        </w:tc>
        <w:tc>
          <w:tcPr>
            <w:tcW w:w="1369" w:type="dxa"/>
            <w:tcBorders>
              <w:top w:val="nil"/>
              <w:left w:val="nil"/>
              <w:bottom w:val="single" w:color="auto" w:sz="4" w:space="0"/>
              <w:right w:val="single" w:color="auto" w:sz="4" w:space="0"/>
            </w:tcBorders>
            <w:shd w:val="clear" w:color="auto" w:fill="auto"/>
            <w:vAlign w:val="center"/>
          </w:tcPr>
          <w:p w14:paraId="203ACF60">
            <w:pPr>
              <w:widowControl/>
              <w:spacing w:line="240" w:lineRule="exact"/>
              <w:jc w:val="center"/>
              <w:rPr>
                <w:rFonts w:ascii="宋体" w:cs="宋体"/>
                <w:color w:val="000000"/>
                <w:kern w:val="0"/>
                <w:sz w:val="18"/>
                <w:szCs w:val="18"/>
              </w:rPr>
            </w:pPr>
            <w:r>
              <w:rPr>
                <w:rFonts w:hint="eastAsia" w:asci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054A48C">
            <w:pPr>
              <w:widowControl/>
              <w:jc w:val="center"/>
              <w:rPr>
                <w:rFonts w:ascii="宋体" w:cs="宋体"/>
                <w:color w:val="000000"/>
                <w:kern w:val="0"/>
                <w:sz w:val="18"/>
                <w:szCs w:val="18"/>
              </w:rPr>
            </w:pPr>
            <w:r>
              <w:rPr>
                <w:rFonts w:hint="eastAsia" w:asci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7722247">
            <w:pPr>
              <w:widowControl/>
              <w:jc w:val="center"/>
              <w:rPr>
                <w:rFonts w:ascii="宋体" w:cs="宋体"/>
                <w:color w:val="000000"/>
                <w:kern w:val="0"/>
                <w:sz w:val="18"/>
                <w:szCs w:val="18"/>
              </w:rPr>
            </w:pPr>
            <w:r>
              <w:rPr>
                <w:rFonts w:hint="eastAsia" w:asci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164FFFA0">
            <w:pPr>
              <w:widowControl/>
              <w:jc w:val="center"/>
              <w:rPr>
                <w:rFonts w:ascii="宋体" w:cs="宋体"/>
                <w:color w:val="000000"/>
                <w:kern w:val="0"/>
                <w:sz w:val="18"/>
                <w:szCs w:val="18"/>
              </w:rPr>
            </w:pPr>
            <w:r>
              <w:rPr>
                <w:rFonts w:hint="eastAsia" w:asci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24C5A2D6">
            <w:pPr>
              <w:widowControl/>
              <w:ind w:left="-1" w:leftChars="-1" w:hanging="1"/>
              <w:jc w:val="center"/>
              <w:rPr>
                <w:rFonts w:ascii="宋体" w:cs="宋体"/>
                <w:color w:val="000000"/>
                <w:kern w:val="0"/>
                <w:sz w:val="18"/>
                <w:szCs w:val="18"/>
              </w:rPr>
            </w:pPr>
            <w:r>
              <w:rPr>
                <w:rFonts w:hint="eastAsia" w:asci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7CEE999B">
            <w:pPr>
              <w:widowControl/>
              <w:jc w:val="center"/>
              <w:rPr>
                <w:rFonts w:ascii="宋体" w:cs="宋体"/>
                <w:color w:val="000000"/>
                <w:kern w:val="0"/>
                <w:sz w:val="18"/>
                <w:szCs w:val="18"/>
              </w:rPr>
            </w:pPr>
            <w:r>
              <w:rPr>
                <w:rFonts w:hint="eastAsia" w:ascii="宋体" w:cs="宋体"/>
                <w:color w:val="000000"/>
                <w:kern w:val="0"/>
                <w:sz w:val="18"/>
                <w:szCs w:val="18"/>
              </w:rPr>
              <w:t>Y＜1000</w:t>
            </w:r>
          </w:p>
        </w:tc>
      </w:tr>
      <w:tr w14:paraId="12228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40D4C0C">
            <w:pPr>
              <w:widowControl/>
              <w:spacing w:line="240" w:lineRule="exact"/>
              <w:jc w:val="left"/>
              <w:rPr>
                <w:rFonts w:ascii="宋体" w:cs="宋体"/>
                <w:color w:val="000000"/>
                <w:kern w:val="0"/>
                <w:sz w:val="18"/>
                <w:szCs w:val="18"/>
              </w:rPr>
            </w:pPr>
            <w:r>
              <w:rPr>
                <w:rFonts w:hint="eastAsia" w:asci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40D8460B">
            <w:pPr>
              <w:widowControl/>
              <w:jc w:val="center"/>
              <w:rPr>
                <w:rFonts w:ascii="宋体" w:cs="宋体"/>
                <w:color w:val="000000"/>
                <w:kern w:val="0"/>
                <w:sz w:val="18"/>
                <w:szCs w:val="18"/>
              </w:rPr>
            </w:pPr>
            <w:r>
              <w:rPr>
                <w:rFonts w:hint="eastAsia" w:asci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38BBDFA">
            <w:pPr>
              <w:widowControl/>
              <w:jc w:val="center"/>
              <w:rPr>
                <w:rFonts w:ascii="宋体" w:cs="宋体"/>
                <w:color w:val="000000"/>
                <w:kern w:val="0"/>
                <w:sz w:val="18"/>
                <w:szCs w:val="18"/>
              </w:rPr>
            </w:pPr>
            <w:r>
              <w:rPr>
                <w:rFonts w:hint="eastAsia" w:asci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B33BA9E">
            <w:pPr>
              <w:widowControl/>
              <w:jc w:val="center"/>
              <w:rPr>
                <w:rFonts w:ascii="宋体" w:cs="宋体"/>
                <w:color w:val="000000"/>
                <w:kern w:val="0"/>
                <w:sz w:val="18"/>
                <w:szCs w:val="18"/>
              </w:rPr>
            </w:pPr>
            <w:r>
              <w:rPr>
                <w:rFonts w:hint="eastAsia" w:asci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56CA1B6">
            <w:pPr>
              <w:widowControl/>
              <w:jc w:val="center"/>
              <w:rPr>
                <w:rFonts w:ascii="宋体" w:cs="宋体"/>
                <w:color w:val="000000"/>
                <w:kern w:val="0"/>
                <w:sz w:val="18"/>
                <w:szCs w:val="18"/>
              </w:rPr>
            </w:pPr>
            <w:r>
              <w:rPr>
                <w:rFonts w:hint="eastAsia" w:asci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56776DC0">
            <w:pPr>
              <w:widowControl/>
              <w:ind w:left="-1" w:leftChars="-1" w:hanging="1"/>
              <w:jc w:val="center"/>
              <w:rPr>
                <w:rFonts w:ascii="宋体" w:cs="宋体"/>
                <w:color w:val="000000"/>
                <w:kern w:val="0"/>
                <w:sz w:val="18"/>
                <w:szCs w:val="18"/>
              </w:rPr>
            </w:pPr>
            <w:r>
              <w:rPr>
                <w:rFonts w:hint="eastAsia" w:asci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672FC685">
            <w:pPr>
              <w:widowControl/>
              <w:jc w:val="center"/>
              <w:rPr>
                <w:rFonts w:ascii="宋体" w:cs="宋体"/>
                <w:color w:val="000000"/>
                <w:kern w:val="0"/>
                <w:sz w:val="18"/>
                <w:szCs w:val="18"/>
              </w:rPr>
            </w:pPr>
            <w:r>
              <w:rPr>
                <w:rFonts w:hint="eastAsia" w:ascii="宋体" w:cs="宋体"/>
                <w:color w:val="000000"/>
                <w:kern w:val="0"/>
                <w:sz w:val="18"/>
                <w:szCs w:val="18"/>
              </w:rPr>
              <w:t>X＜10</w:t>
            </w:r>
          </w:p>
        </w:tc>
      </w:tr>
      <w:tr w14:paraId="08F33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8B8E2F4"/>
        </w:tc>
        <w:tc>
          <w:tcPr>
            <w:tcW w:w="1369" w:type="dxa"/>
            <w:tcBorders>
              <w:top w:val="nil"/>
              <w:left w:val="nil"/>
              <w:bottom w:val="single" w:color="auto" w:sz="4" w:space="0"/>
              <w:right w:val="single" w:color="auto" w:sz="4" w:space="0"/>
            </w:tcBorders>
            <w:shd w:val="clear" w:color="auto" w:fill="auto"/>
            <w:vAlign w:val="center"/>
          </w:tcPr>
          <w:p w14:paraId="3A1C1CA6">
            <w:pPr>
              <w:widowControl/>
              <w:spacing w:line="240" w:lineRule="exact"/>
              <w:jc w:val="center"/>
              <w:rPr>
                <w:rFonts w:ascii="宋体" w:cs="宋体"/>
                <w:color w:val="000000"/>
                <w:kern w:val="0"/>
                <w:sz w:val="18"/>
                <w:szCs w:val="18"/>
              </w:rPr>
            </w:pPr>
            <w:r>
              <w:rPr>
                <w:rFonts w:hint="eastAsia" w:asci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F0F3A2B">
            <w:pPr>
              <w:widowControl/>
              <w:jc w:val="center"/>
              <w:rPr>
                <w:rFonts w:ascii="宋体" w:cs="宋体"/>
                <w:color w:val="000000"/>
                <w:kern w:val="0"/>
                <w:sz w:val="18"/>
                <w:szCs w:val="18"/>
              </w:rPr>
            </w:pPr>
            <w:r>
              <w:rPr>
                <w:rFonts w:hint="eastAsia" w:asci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DBA1AE8">
            <w:pPr>
              <w:widowControl/>
              <w:jc w:val="center"/>
              <w:rPr>
                <w:rFonts w:ascii="宋体" w:cs="宋体"/>
                <w:color w:val="000000"/>
                <w:kern w:val="0"/>
                <w:sz w:val="18"/>
                <w:szCs w:val="18"/>
              </w:rPr>
            </w:pPr>
            <w:r>
              <w:rPr>
                <w:rFonts w:hint="eastAsia" w:asci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4C0F1226">
            <w:pPr>
              <w:widowControl/>
              <w:jc w:val="center"/>
              <w:rPr>
                <w:rFonts w:ascii="宋体" w:cs="宋体"/>
                <w:color w:val="000000"/>
                <w:kern w:val="0"/>
                <w:sz w:val="18"/>
                <w:szCs w:val="18"/>
              </w:rPr>
            </w:pPr>
            <w:r>
              <w:rPr>
                <w:rFonts w:hint="eastAsia" w:asci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45BCDF1A">
            <w:pPr>
              <w:widowControl/>
              <w:ind w:left="-1" w:leftChars="-1" w:hanging="1"/>
              <w:jc w:val="center"/>
              <w:rPr>
                <w:rFonts w:ascii="宋体" w:cs="宋体"/>
                <w:color w:val="000000"/>
                <w:kern w:val="0"/>
                <w:sz w:val="18"/>
                <w:szCs w:val="18"/>
              </w:rPr>
            </w:pPr>
            <w:r>
              <w:rPr>
                <w:rFonts w:hint="eastAsia" w:asci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5A2042E1">
            <w:pPr>
              <w:widowControl/>
              <w:jc w:val="center"/>
              <w:rPr>
                <w:rFonts w:ascii="宋体" w:cs="宋体"/>
                <w:color w:val="000000"/>
                <w:kern w:val="0"/>
                <w:sz w:val="18"/>
                <w:szCs w:val="18"/>
              </w:rPr>
            </w:pPr>
            <w:r>
              <w:rPr>
                <w:rFonts w:hint="eastAsia" w:ascii="宋体" w:cs="宋体"/>
                <w:color w:val="000000"/>
                <w:kern w:val="0"/>
                <w:sz w:val="18"/>
                <w:szCs w:val="18"/>
              </w:rPr>
              <w:t>Y＜100</w:t>
            </w:r>
          </w:p>
        </w:tc>
      </w:tr>
      <w:tr w14:paraId="27FCE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725D4B2">
            <w:pPr>
              <w:widowControl/>
              <w:spacing w:line="240" w:lineRule="exact"/>
              <w:jc w:val="left"/>
              <w:rPr>
                <w:rFonts w:ascii="宋体" w:cs="宋体"/>
                <w:color w:val="000000"/>
                <w:kern w:val="0"/>
                <w:sz w:val="18"/>
                <w:szCs w:val="18"/>
              </w:rPr>
            </w:pPr>
            <w:r>
              <w:rPr>
                <w:rFonts w:hint="eastAsia" w:asci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030CB8D3">
            <w:pPr>
              <w:widowControl/>
              <w:jc w:val="center"/>
              <w:rPr>
                <w:rFonts w:ascii="宋体" w:cs="宋体"/>
                <w:color w:val="000000"/>
                <w:kern w:val="0"/>
                <w:sz w:val="18"/>
                <w:szCs w:val="18"/>
              </w:rPr>
            </w:pPr>
            <w:r>
              <w:rPr>
                <w:rFonts w:hint="eastAsia" w:asci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02B03CC">
            <w:pPr>
              <w:widowControl/>
              <w:jc w:val="center"/>
              <w:rPr>
                <w:rFonts w:ascii="宋体" w:cs="宋体"/>
                <w:color w:val="000000"/>
                <w:kern w:val="0"/>
                <w:sz w:val="18"/>
                <w:szCs w:val="18"/>
              </w:rPr>
            </w:pPr>
            <w:r>
              <w:rPr>
                <w:rFonts w:hint="eastAsia" w:asci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A756224">
            <w:pPr>
              <w:widowControl/>
              <w:jc w:val="center"/>
              <w:rPr>
                <w:rFonts w:ascii="宋体" w:cs="宋体"/>
                <w:color w:val="000000"/>
                <w:kern w:val="0"/>
                <w:sz w:val="18"/>
                <w:szCs w:val="18"/>
              </w:rPr>
            </w:pPr>
            <w:r>
              <w:rPr>
                <w:rFonts w:hint="eastAsia" w:asci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01C56A4">
            <w:pPr>
              <w:widowControl/>
              <w:jc w:val="center"/>
              <w:rPr>
                <w:rFonts w:ascii="宋体" w:cs="宋体"/>
                <w:color w:val="000000"/>
                <w:kern w:val="0"/>
                <w:sz w:val="18"/>
                <w:szCs w:val="18"/>
              </w:rPr>
            </w:pPr>
            <w:r>
              <w:rPr>
                <w:rFonts w:hint="eastAsia" w:asci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1A655CCC">
            <w:pPr>
              <w:widowControl/>
              <w:jc w:val="center"/>
              <w:rPr>
                <w:rFonts w:ascii="宋体" w:cs="宋体"/>
                <w:color w:val="000000"/>
                <w:kern w:val="0"/>
                <w:sz w:val="18"/>
                <w:szCs w:val="18"/>
              </w:rPr>
            </w:pPr>
            <w:r>
              <w:rPr>
                <w:rFonts w:hint="eastAsia" w:asci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B8E7565">
            <w:pPr>
              <w:widowControl/>
              <w:jc w:val="center"/>
              <w:rPr>
                <w:rFonts w:ascii="宋体" w:cs="宋体"/>
                <w:color w:val="000000"/>
                <w:kern w:val="0"/>
                <w:sz w:val="18"/>
                <w:szCs w:val="18"/>
              </w:rPr>
            </w:pPr>
            <w:r>
              <w:rPr>
                <w:rFonts w:hint="eastAsia" w:ascii="宋体" w:cs="宋体"/>
                <w:color w:val="000000"/>
                <w:kern w:val="0"/>
                <w:sz w:val="18"/>
                <w:szCs w:val="18"/>
              </w:rPr>
              <w:t>X＜20</w:t>
            </w:r>
          </w:p>
        </w:tc>
      </w:tr>
      <w:tr w14:paraId="0504B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50BCC9E"/>
        </w:tc>
        <w:tc>
          <w:tcPr>
            <w:tcW w:w="1369" w:type="dxa"/>
            <w:tcBorders>
              <w:top w:val="nil"/>
              <w:left w:val="nil"/>
              <w:bottom w:val="single" w:color="auto" w:sz="4" w:space="0"/>
              <w:right w:val="single" w:color="auto" w:sz="4" w:space="0"/>
            </w:tcBorders>
            <w:shd w:val="clear" w:color="auto" w:fill="auto"/>
            <w:vAlign w:val="center"/>
          </w:tcPr>
          <w:p w14:paraId="66A72220">
            <w:pPr>
              <w:widowControl/>
              <w:spacing w:line="240" w:lineRule="exact"/>
              <w:jc w:val="center"/>
              <w:rPr>
                <w:rFonts w:ascii="宋体" w:cs="宋体"/>
                <w:color w:val="000000"/>
                <w:kern w:val="0"/>
                <w:sz w:val="18"/>
                <w:szCs w:val="18"/>
              </w:rPr>
            </w:pPr>
            <w:r>
              <w:rPr>
                <w:rFonts w:hint="eastAsia" w:asci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3257C37">
            <w:pPr>
              <w:widowControl/>
              <w:jc w:val="center"/>
              <w:rPr>
                <w:rFonts w:ascii="宋体" w:cs="宋体"/>
                <w:color w:val="000000"/>
                <w:kern w:val="0"/>
                <w:sz w:val="18"/>
                <w:szCs w:val="18"/>
              </w:rPr>
            </w:pPr>
            <w:r>
              <w:rPr>
                <w:rFonts w:hint="eastAsia" w:asci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66E28BB">
            <w:pPr>
              <w:widowControl/>
              <w:jc w:val="center"/>
              <w:rPr>
                <w:rFonts w:ascii="宋体" w:cs="宋体"/>
                <w:color w:val="000000"/>
                <w:kern w:val="0"/>
                <w:sz w:val="18"/>
                <w:szCs w:val="18"/>
              </w:rPr>
            </w:pPr>
            <w:r>
              <w:rPr>
                <w:rFonts w:hint="eastAsia" w:asci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2ACB516E">
            <w:pPr>
              <w:widowControl/>
              <w:jc w:val="center"/>
              <w:rPr>
                <w:rFonts w:ascii="宋体" w:cs="宋体"/>
                <w:color w:val="000000"/>
                <w:kern w:val="0"/>
                <w:sz w:val="18"/>
                <w:szCs w:val="18"/>
              </w:rPr>
            </w:pPr>
            <w:r>
              <w:rPr>
                <w:rFonts w:hint="eastAsia" w:asci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1F3682D6">
            <w:pPr>
              <w:widowControl/>
              <w:jc w:val="center"/>
              <w:rPr>
                <w:rFonts w:ascii="宋体" w:cs="宋体"/>
                <w:color w:val="000000"/>
                <w:kern w:val="0"/>
                <w:sz w:val="18"/>
                <w:szCs w:val="18"/>
              </w:rPr>
            </w:pPr>
            <w:r>
              <w:rPr>
                <w:rFonts w:hint="eastAsia" w:asci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22105A32">
            <w:pPr>
              <w:widowControl/>
              <w:jc w:val="center"/>
              <w:rPr>
                <w:rFonts w:ascii="宋体" w:cs="宋体"/>
                <w:color w:val="000000"/>
                <w:kern w:val="0"/>
                <w:sz w:val="18"/>
                <w:szCs w:val="18"/>
              </w:rPr>
            </w:pPr>
            <w:r>
              <w:rPr>
                <w:rFonts w:hint="eastAsia" w:ascii="宋体" w:cs="宋体"/>
                <w:color w:val="000000"/>
                <w:kern w:val="0"/>
                <w:sz w:val="18"/>
                <w:szCs w:val="18"/>
              </w:rPr>
              <w:t>Y＜200</w:t>
            </w:r>
          </w:p>
        </w:tc>
      </w:tr>
      <w:tr w14:paraId="2BEC8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9EBBDBB">
            <w:pPr>
              <w:widowControl/>
              <w:spacing w:line="240" w:lineRule="exact"/>
              <w:jc w:val="left"/>
              <w:rPr>
                <w:rFonts w:ascii="宋体" w:cs="宋体"/>
                <w:color w:val="000000"/>
                <w:kern w:val="0"/>
                <w:sz w:val="18"/>
                <w:szCs w:val="18"/>
              </w:rPr>
            </w:pPr>
            <w:r>
              <w:rPr>
                <w:rFonts w:hint="eastAsia" w:asci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14E49DAB">
            <w:pPr>
              <w:widowControl/>
              <w:jc w:val="center"/>
              <w:rPr>
                <w:rFonts w:ascii="宋体" w:cs="宋体"/>
                <w:color w:val="000000"/>
                <w:kern w:val="0"/>
                <w:sz w:val="18"/>
                <w:szCs w:val="18"/>
              </w:rPr>
            </w:pPr>
            <w:r>
              <w:rPr>
                <w:rFonts w:hint="eastAsia" w:asci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7C95E8A">
            <w:pPr>
              <w:widowControl/>
              <w:jc w:val="center"/>
              <w:rPr>
                <w:rFonts w:ascii="宋体" w:cs="宋体"/>
                <w:color w:val="000000"/>
                <w:kern w:val="0"/>
                <w:sz w:val="18"/>
                <w:szCs w:val="18"/>
              </w:rPr>
            </w:pPr>
            <w:r>
              <w:rPr>
                <w:rFonts w:hint="eastAsia" w:asci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C1DAB65">
            <w:pPr>
              <w:widowControl/>
              <w:jc w:val="center"/>
              <w:rPr>
                <w:rFonts w:ascii="宋体" w:cs="宋体"/>
                <w:color w:val="000000"/>
                <w:kern w:val="0"/>
                <w:sz w:val="18"/>
                <w:szCs w:val="18"/>
              </w:rPr>
            </w:pPr>
            <w:r>
              <w:rPr>
                <w:rFonts w:hint="eastAsia" w:asci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13024CCF">
            <w:pPr>
              <w:widowControl/>
              <w:ind w:left="1" w:leftChars="-51" w:hanging="108" w:hangingChars="60"/>
              <w:jc w:val="center"/>
              <w:rPr>
                <w:rFonts w:ascii="宋体" w:cs="宋体"/>
                <w:color w:val="000000"/>
                <w:kern w:val="0"/>
                <w:sz w:val="18"/>
                <w:szCs w:val="18"/>
              </w:rPr>
            </w:pPr>
            <w:r>
              <w:rPr>
                <w:rFonts w:hint="eastAsia" w:asci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63D59B85">
            <w:pPr>
              <w:widowControl/>
              <w:jc w:val="center"/>
              <w:rPr>
                <w:rFonts w:ascii="宋体" w:cs="宋体"/>
                <w:color w:val="000000"/>
                <w:kern w:val="0"/>
                <w:sz w:val="18"/>
                <w:szCs w:val="18"/>
              </w:rPr>
            </w:pPr>
            <w:r>
              <w:rPr>
                <w:rFonts w:hint="eastAsia" w:asci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489B06B8">
            <w:pPr>
              <w:widowControl/>
              <w:jc w:val="center"/>
              <w:rPr>
                <w:rFonts w:ascii="宋体" w:cs="宋体"/>
                <w:color w:val="000000"/>
                <w:kern w:val="0"/>
                <w:sz w:val="18"/>
                <w:szCs w:val="18"/>
              </w:rPr>
            </w:pPr>
            <w:r>
              <w:rPr>
                <w:rFonts w:hint="eastAsia" w:ascii="宋体" w:cs="宋体"/>
                <w:color w:val="000000"/>
                <w:kern w:val="0"/>
                <w:sz w:val="18"/>
                <w:szCs w:val="18"/>
              </w:rPr>
              <w:t>X＜20</w:t>
            </w:r>
          </w:p>
        </w:tc>
      </w:tr>
      <w:tr w14:paraId="7FE9E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2C83C78"/>
        </w:tc>
        <w:tc>
          <w:tcPr>
            <w:tcW w:w="1369" w:type="dxa"/>
            <w:tcBorders>
              <w:top w:val="nil"/>
              <w:left w:val="nil"/>
              <w:bottom w:val="single" w:color="auto" w:sz="4" w:space="0"/>
              <w:right w:val="single" w:color="auto" w:sz="4" w:space="0"/>
            </w:tcBorders>
            <w:shd w:val="clear" w:color="auto" w:fill="auto"/>
            <w:vAlign w:val="center"/>
          </w:tcPr>
          <w:p w14:paraId="0FCECF28">
            <w:pPr>
              <w:widowControl/>
              <w:spacing w:line="240" w:lineRule="exact"/>
              <w:jc w:val="center"/>
              <w:rPr>
                <w:rFonts w:ascii="宋体" w:cs="宋体"/>
                <w:color w:val="000000"/>
                <w:kern w:val="0"/>
                <w:sz w:val="18"/>
                <w:szCs w:val="18"/>
              </w:rPr>
            </w:pPr>
            <w:r>
              <w:rPr>
                <w:rFonts w:hint="eastAsia" w:asci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BBBE39E">
            <w:pPr>
              <w:widowControl/>
              <w:jc w:val="center"/>
              <w:rPr>
                <w:rFonts w:ascii="宋体" w:cs="宋体"/>
                <w:color w:val="000000"/>
                <w:kern w:val="0"/>
                <w:sz w:val="18"/>
                <w:szCs w:val="18"/>
              </w:rPr>
            </w:pPr>
            <w:r>
              <w:rPr>
                <w:rFonts w:hint="eastAsia" w:asci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4560B35">
            <w:pPr>
              <w:widowControl/>
              <w:jc w:val="center"/>
              <w:rPr>
                <w:rFonts w:ascii="宋体" w:cs="宋体"/>
                <w:color w:val="000000"/>
                <w:kern w:val="0"/>
                <w:sz w:val="18"/>
                <w:szCs w:val="18"/>
              </w:rPr>
            </w:pPr>
            <w:r>
              <w:rPr>
                <w:rFonts w:hint="eastAsia" w:asci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5FD8FEA0">
            <w:pPr>
              <w:widowControl/>
              <w:jc w:val="center"/>
              <w:rPr>
                <w:rFonts w:ascii="宋体" w:cs="宋体"/>
                <w:color w:val="000000"/>
                <w:kern w:val="0"/>
                <w:sz w:val="18"/>
                <w:szCs w:val="18"/>
              </w:rPr>
            </w:pPr>
            <w:r>
              <w:rPr>
                <w:rFonts w:hint="eastAsia" w:asci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5B474719">
            <w:pPr>
              <w:widowControl/>
              <w:jc w:val="center"/>
              <w:rPr>
                <w:rFonts w:ascii="宋体" w:cs="宋体"/>
                <w:color w:val="000000"/>
                <w:kern w:val="0"/>
                <w:sz w:val="18"/>
                <w:szCs w:val="18"/>
              </w:rPr>
            </w:pPr>
            <w:r>
              <w:rPr>
                <w:rFonts w:hint="eastAsia" w:asci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0D3126B5">
            <w:pPr>
              <w:widowControl/>
              <w:jc w:val="center"/>
              <w:rPr>
                <w:rFonts w:ascii="宋体" w:cs="宋体"/>
                <w:color w:val="000000"/>
                <w:kern w:val="0"/>
                <w:sz w:val="18"/>
                <w:szCs w:val="18"/>
              </w:rPr>
            </w:pPr>
            <w:r>
              <w:rPr>
                <w:rFonts w:hint="eastAsia" w:ascii="宋体" w:cs="宋体"/>
                <w:color w:val="000000"/>
                <w:kern w:val="0"/>
                <w:sz w:val="18"/>
                <w:szCs w:val="18"/>
              </w:rPr>
              <w:t>Y＜100</w:t>
            </w:r>
          </w:p>
        </w:tc>
      </w:tr>
      <w:tr w14:paraId="77A7C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E5324FD">
            <w:pPr>
              <w:widowControl/>
              <w:spacing w:line="240" w:lineRule="exact"/>
              <w:jc w:val="left"/>
              <w:rPr>
                <w:rFonts w:ascii="宋体" w:cs="宋体"/>
                <w:color w:val="000000"/>
                <w:kern w:val="0"/>
                <w:sz w:val="18"/>
                <w:szCs w:val="18"/>
              </w:rPr>
            </w:pPr>
            <w:r>
              <w:rPr>
                <w:rFonts w:hint="eastAsia" w:asci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5D0E5AF9">
            <w:pPr>
              <w:widowControl/>
              <w:jc w:val="center"/>
              <w:rPr>
                <w:rFonts w:ascii="宋体" w:cs="宋体"/>
                <w:color w:val="000000"/>
                <w:kern w:val="0"/>
                <w:sz w:val="18"/>
                <w:szCs w:val="18"/>
              </w:rPr>
            </w:pPr>
            <w:r>
              <w:rPr>
                <w:rFonts w:hint="eastAsia" w:asci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F344585">
            <w:pPr>
              <w:widowControl/>
              <w:jc w:val="center"/>
              <w:rPr>
                <w:rFonts w:ascii="宋体" w:cs="宋体"/>
                <w:color w:val="000000"/>
                <w:kern w:val="0"/>
                <w:sz w:val="18"/>
                <w:szCs w:val="18"/>
              </w:rPr>
            </w:pPr>
            <w:r>
              <w:rPr>
                <w:rFonts w:hint="eastAsia" w:asci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2730E14">
            <w:pPr>
              <w:widowControl/>
              <w:jc w:val="center"/>
              <w:rPr>
                <w:rFonts w:ascii="宋体" w:cs="宋体"/>
                <w:color w:val="000000"/>
                <w:kern w:val="0"/>
                <w:sz w:val="18"/>
                <w:szCs w:val="18"/>
              </w:rPr>
            </w:pPr>
            <w:r>
              <w:rPr>
                <w:rFonts w:hint="eastAsia" w:asci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7D4A1C40">
            <w:pPr>
              <w:widowControl/>
              <w:jc w:val="center"/>
              <w:rPr>
                <w:rFonts w:ascii="宋体" w:cs="宋体"/>
                <w:color w:val="000000"/>
                <w:kern w:val="0"/>
                <w:sz w:val="18"/>
                <w:szCs w:val="18"/>
              </w:rPr>
            </w:pPr>
            <w:r>
              <w:rPr>
                <w:rFonts w:hint="eastAsia" w:asci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21CE5DA3">
            <w:pPr>
              <w:widowControl/>
              <w:jc w:val="center"/>
              <w:rPr>
                <w:rFonts w:ascii="宋体" w:cs="宋体"/>
                <w:color w:val="000000"/>
                <w:kern w:val="0"/>
                <w:sz w:val="18"/>
                <w:szCs w:val="18"/>
              </w:rPr>
            </w:pPr>
            <w:r>
              <w:rPr>
                <w:rFonts w:hint="eastAsia" w:asci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E245F5D">
            <w:pPr>
              <w:widowControl/>
              <w:jc w:val="center"/>
              <w:rPr>
                <w:rFonts w:ascii="宋体" w:cs="宋体"/>
                <w:color w:val="000000"/>
                <w:kern w:val="0"/>
                <w:sz w:val="18"/>
                <w:szCs w:val="18"/>
              </w:rPr>
            </w:pPr>
            <w:r>
              <w:rPr>
                <w:rFonts w:hint="eastAsia" w:ascii="宋体" w:cs="宋体"/>
                <w:color w:val="000000"/>
                <w:kern w:val="0"/>
                <w:sz w:val="18"/>
                <w:szCs w:val="18"/>
              </w:rPr>
              <w:t>X＜20</w:t>
            </w:r>
          </w:p>
        </w:tc>
      </w:tr>
      <w:tr w14:paraId="66D86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5EF8834"/>
        </w:tc>
        <w:tc>
          <w:tcPr>
            <w:tcW w:w="1369" w:type="dxa"/>
            <w:tcBorders>
              <w:top w:val="nil"/>
              <w:left w:val="nil"/>
              <w:bottom w:val="single" w:color="auto" w:sz="4" w:space="0"/>
              <w:right w:val="single" w:color="auto" w:sz="4" w:space="0"/>
            </w:tcBorders>
            <w:shd w:val="clear" w:color="auto" w:fill="auto"/>
            <w:vAlign w:val="center"/>
          </w:tcPr>
          <w:p w14:paraId="3893BD71">
            <w:pPr>
              <w:widowControl/>
              <w:spacing w:line="240" w:lineRule="exact"/>
              <w:jc w:val="center"/>
              <w:rPr>
                <w:rFonts w:ascii="宋体" w:cs="宋体"/>
                <w:color w:val="000000"/>
                <w:kern w:val="0"/>
                <w:sz w:val="18"/>
                <w:szCs w:val="18"/>
              </w:rPr>
            </w:pPr>
            <w:r>
              <w:rPr>
                <w:rFonts w:hint="eastAsia" w:asci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CDC72B0">
            <w:pPr>
              <w:widowControl/>
              <w:jc w:val="center"/>
              <w:rPr>
                <w:rFonts w:ascii="宋体" w:cs="宋体"/>
                <w:color w:val="000000"/>
                <w:kern w:val="0"/>
                <w:sz w:val="18"/>
                <w:szCs w:val="18"/>
              </w:rPr>
            </w:pPr>
            <w:r>
              <w:rPr>
                <w:rFonts w:hint="eastAsia" w:asci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BECD989">
            <w:pPr>
              <w:widowControl/>
              <w:jc w:val="center"/>
              <w:rPr>
                <w:rFonts w:ascii="宋体" w:cs="宋体"/>
                <w:color w:val="000000"/>
                <w:kern w:val="0"/>
                <w:sz w:val="18"/>
                <w:szCs w:val="18"/>
              </w:rPr>
            </w:pPr>
            <w:r>
              <w:rPr>
                <w:rFonts w:hint="eastAsia" w:asci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72D731BF">
            <w:pPr>
              <w:widowControl/>
              <w:jc w:val="center"/>
              <w:rPr>
                <w:rFonts w:ascii="宋体" w:cs="宋体"/>
                <w:color w:val="000000"/>
                <w:kern w:val="0"/>
                <w:sz w:val="18"/>
                <w:szCs w:val="18"/>
              </w:rPr>
            </w:pPr>
            <w:r>
              <w:rPr>
                <w:rFonts w:hint="eastAsia" w:asci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3F3C4A90">
            <w:pPr>
              <w:widowControl/>
              <w:jc w:val="center"/>
              <w:rPr>
                <w:rFonts w:ascii="宋体" w:cs="宋体"/>
                <w:color w:val="000000"/>
                <w:kern w:val="0"/>
                <w:sz w:val="18"/>
                <w:szCs w:val="18"/>
              </w:rPr>
            </w:pPr>
            <w:r>
              <w:rPr>
                <w:rFonts w:hint="eastAsia" w:asci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C495090">
            <w:pPr>
              <w:widowControl/>
              <w:jc w:val="center"/>
              <w:rPr>
                <w:rFonts w:ascii="宋体" w:cs="宋体"/>
                <w:color w:val="000000"/>
                <w:kern w:val="0"/>
                <w:sz w:val="18"/>
                <w:szCs w:val="18"/>
              </w:rPr>
            </w:pPr>
            <w:r>
              <w:rPr>
                <w:rFonts w:hint="eastAsia" w:ascii="宋体" w:cs="宋体"/>
                <w:color w:val="000000"/>
                <w:kern w:val="0"/>
                <w:sz w:val="18"/>
                <w:szCs w:val="18"/>
              </w:rPr>
              <w:t>Y＜100</w:t>
            </w:r>
          </w:p>
        </w:tc>
      </w:tr>
      <w:tr w14:paraId="423CF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198A98D">
            <w:pPr>
              <w:widowControl/>
              <w:spacing w:line="240" w:lineRule="exact"/>
              <w:jc w:val="left"/>
              <w:rPr>
                <w:rFonts w:ascii="宋体" w:cs="宋体"/>
                <w:color w:val="000000"/>
                <w:kern w:val="0"/>
                <w:sz w:val="18"/>
                <w:szCs w:val="18"/>
              </w:rPr>
            </w:pPr>
            <w:r>
              <w:rPr>
                <w:rFonts w:hint="eastAsia" w:asci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0E1B0028">
            <w:pPr>
              <w:widowControl/>
              <w:jc w:val="center"/>
              <w:rPr>
                <w:rFonts w:ascii="宋体" w:cs="宋体"/>
                <w:color w:val="000000"/>
                <w:kern w:val="0"/>
                <w:sz w:val="18"/>
                <w:szCs w:val="18"/>
              </w:rPr>
            </w:pPr>
            <w:r>
              <w:rPr>
                <w:rFonts w:hint="eastAsia" w:asci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2CDC34A">
            <w:pPr>
              <w:widowControl/>
              <w:jc w:val="center"/>
              <w:rPr>
                <w:rFonts w:ascii="宋体" w:cs="宋体"/>
                <w:color w:val="000000"/>
                <w:kern w:val="0"/>
                <w:sz w:val="18"/>
                <w:szCs w:val="18"/>
              </w:rPr>
            </w:pPr>
            <w:r>
              <w:rPr>
                <w:rFonts w:hint="eastAsia" w:asci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C879834">
            <w:pPr>
              <w:widowControl/>
              <w:jc w:val="center"/>
              <w:rPr>
                <w:rFonts w:ascii="宋体" w:cs="宋体"/>
                <w:color w:val="000000"/>
                <w:kern w:val="0"/>
                <w:sz w:val="18"/>
                <w:szCs w:val="18"/>
              </w:rPr>
            </w:pPr>
            <w:r>
              <w:rPr>
                <w:rFonts w:hint="eastAsia" w:asci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91575C4">
            <w:pPr>
              <w:widowControl/>
              <w:ind w:left="1" w:leftChars="-51" w:hanging="108" w:hangingChars="60"/>
              <w:jc w:val="center"/>
              <w:rPr>
                <w:rFonts w:ascii="宋体" w:cs="宋体"/>
                <w:color w:val="000000"/>
                <w:kern w:val="0"/>
                <w:sz w:val="18"/>
                <w:szCs w:val="18"/>
              </w:rPr>
            </w:pPr>
            <w:r>
              <w:rPr>
                <w:rFonts w:hint="eastAsia" w:asci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00C4D5D">
            <w:pPr>
              <w:widowControl/>
              <w:jc w:val="center"/>
              <w:rPr>
                <w:rFonts w:ascii="宋体" w:cs="宋体"/>
                <w:color w:val="000000"/>
                <w:kern w:val="0"/>
                <w:sz w:val="18"/>
                <w:szCs w:val="18"/>
              </w:rPr>
            </w:pPr>
            <w:r>
              <w:rPr>
                <w:rFonts w:hint="eastAsia" w:asci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81C76E5">
            <w:pPr>
              <w:widowControl/>
              <w:jc w:val="center"/>
              <w:rPr>
                <w:rFonts w:ascii="宋体" w:cs="宋体"/>
                <w:color w:val="000000"/>
                <w:kern w:val="0"/>
                <w:sz w:val="18"/>
                <w:szCs w:val="18"/>
              </w:rPr>
            </w:pPr>
            <w:r>
              <w:rPr>
                <w:rFonts w:hint="eastAsia" w:ascii="宋体" w:cs="宋体"/>
                <w:color w:val="000000"/>
                <w:kern w:val="0"/>
                <w:sz w:val="18"/>
                <w:szCs w:val="18"/>
              </w:rPr>
              <w:t>X＜10</w:t>
            </w:r>
          </w:p>
        </w:tc>
      </w:tr>
      <w:tr w14:paraId="076AB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405B146"/>
        </w:tc>
        <w:tc>
          <w:tcPr>
            <w:tcW w:w="1369" w:type="dxa"/>
            <w:tcBorders>
              <w:top w:val="nil"/>
              <w:left w:val="nil"/>
              <w:bottom w:val="single" w:color="auto" w:sz="4" w:space="0"/>
              <w:right w:val="single" w:color="auto" w:sz="4" w:space="0"/>
            </w:tcBorders>
            <w:shd w:val="clear" w:color="auto" w:fill="auto"/>
            <w:vAlign w:val="center"/>
          </w:tcPr>
          <w:p w14:paraId="474DBD67">
            <w:pPr>
              <w:widowControl/>
              <w:spacing w:line="240" w:lineRule="exact"/>
              <w:jc w:val="center"/>
              <w:rPr>
                <w:rFonts w:ascii="宋体" w:cs="宋体"/>
                <w:color w:val="000000"/>
                <w:kern w:val="0"/>
                <w:sz w:val="18"/>
                <w:szCs w:val="18"/>
              </w:rPr>
            </w:pPr>
            <w:r>
              <w:rPr>
                <w:rFonts w:hint="eastAsia" w:asci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B462710">
            <w:pPr>
              <w:widowControl/>
              <w:jc w:val="center"/>
              <w:rPr>
                <w:rFonts w:ascii="宋体" w:cs="宋体"/>
                <w:color w:val="000000"/>
                <w:kern w:val="0"/>
                <w:sz w:val="18"/>
                <w:szCs w:val="18"/>
              </w:rPr>
            </w:pPr>
            <w:r>
              <w:rPr>
                <w:rFonts w:hint="eastAsia" w:asci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CBA4E6E">
            <w:pPr>
              <w:widowControl/>
              <w:jc w:val="center"/>
              <w:rPr>
                <w:rFonts w:ascii="宋体" w:cs="宋体"/>
                <w:color w:val="000000"/>
                <w:kern w:val="0"/>
                <w:sz w:val="18"/>
                <w:szCs w:val="18"/>
              </w:rPr>
            </w:pPr>
            <w:r>
              <w:rPr>
                <w:rFonts w:hint="eastAsia" w:asci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2838031A">
            <w:pPr>
              <w:widowControl/>
              <w:jc w:val="center"/>
              <w:rPr>
                <w:rFonts w:ascii="宋体" w:cs="宋体"/>
                <w:color w:val="000000"/>
                <w:kern w:val="0"/>
                <w:sz w:val="18"/>
                <w:szCs w:val="18"/>
              </w:rPr>
            </w:pPr>
            <w:r>
              <w:rPr>
                <w:rFonts w:hint="eastAsia" w:asci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0DD612E5">
            <w:pPr>
              <w:widowControl/>
              <w:jc w:val="center"/>
              <w:rPr>
                <w:rFonts w:ascii="宋体" w:cs="宋体"/>
                <w:color w:val="000000"/>
                <w:kern w:val="0"/>
                <w:sz w:val="18"/>
                <w:szCs w:val="18"/>
              </w:rPr>
            </w:pPr>
            <w:r>
              <w:rPr>
                <w:rFonts w:hint="eastAsia" w:asci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F642E23">
            <w:pPr>
              <w:widowControl/>
              <w:jc w:val="center"/>
              <w:rPr>
                <w:rFonts w:ascii="宋体" w:cs="宋体"/>
                <w:color w:val="000000"/>
                <w:kern w:val="0"/>
                <w:sz w:val="18"/>
                <w:szCs w:val="18"/>
              </w:rPr>
            </w:pPr>
            <w:r>
              <w:rPr>
                <w:rFonts w:hint="eastAsia" w:ascii="宋体" w:cs="宋体"/>
                <w:color w:val="000000"/>
                <w:kern w:val="0"/>
                <w:sz w:val="18"/>
                <w:szCs w:val="18"/>
              </w:rPr>
              <w:t>Y＜100</w:t>
            </w:r>
          </w:p>
        </w:tc>
      </w:tr>
      <w:tr w14:paraId="03509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078812E">
            <w:pPr>
              <w:widowControl/>
              <w:spacing w:line="240" w:lineRule="exact"/>
              <w:jc w:val="left"/>
              <w:rPr>
                <w:rFonts w:ascii="宋体" w:cs="宋体"/>
                <w:color w:val="000000"/>
                <w:kern w:val="0"/>
                <w:sz w:val="18"/>
                <w:szCs w:val="18"/>
              </w:rPr>
            </w:pPr>
            <w:r>
              <w:rPr>
                <w:rFonts w:hint="eastAsia" w:asci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1EEA4CEB">
            <w:pPr>
              <w:widowControl/>
              <w:jc w:val="center"/>
              <w:rPr>
                <w:rFonts w:ascii="宋体" w:cs="宋体"/>
                <w:color w:val="000000"/>
                <w:kern w:val="0"/>
                <w:sz w:val="18"/>
                <w:szCs w:val="18"/>
              </w:rPr>
            </w:pPr>
            <w:r>
              <w:rPr>
                <w:rFonts w:hint="eastAsia" w:asci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5B046EA">
            <w:pPr>
              <w:widowControl/>
              <w:jc w:val="center"/>
              <w:rPr>
                <w:rFonts w:ascii="宋体" w:cs="宋体"/>
                <w:color w:val="000000"/>
                <w:kern w:val="0"/>
                <w:sz w:val="18"/>
                <w:szCs w:val="18"/>
              </w:rPr>
            </w:pPr>
            <w:r>
              <w:rPr>
                <w:rFonts w:hint="eastAsia" w:asci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BDF153">
            <w:pPr>
              <w:widowControl/>
              <w:jc w:val="center"/>
              <w:rPr>
                <w:rFonts w:ascii="宋体" w:cs="宋体"/>
                <w:color w:val="000000"/>
                <w:kern w:val="0"/>
                <w:sz w:val="18"/>
                <w:szCs w:val="18"/>
              </w:rPr>
            </w:pPr>
            <w:r>
              <w:rPr>
                <w:rFonts w:hint="eastAsia" w:asci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0B0B7D10">
            <w:pPr>
              <w:widowControl/>
              <w:ind w:left="1" w:leftChars="-51" w:hanging="108" w:hangingChars="60"/>
              <w:jc w:val="center"/>
              <w:rPr>
                <w:rFonts w:ascii="宋体" w:cs="宋体"/>
                <w:color w:val="000000"/>
                <w:kern w:val="0"/>
                <w:sz w:val="18"/>
                <w:szCs w:val="18"/>
              </w:rPr>
            </w:pPr>
            <w:r>
              <w:rPr>
                <w:rFonts w:hint="eastAsia" w:asci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DD048A6">
            <w:pPr>
              <w:widowControl/>
              <w:jc w:val="center"/>
              <w:rPr>
                <w:rFonts w:ascii="宋体" w:cs="宋体"/>
                <w:color w:val="000000"/>
                <w:kern w:val="0"/>
                <w:sz w:val="18"/>
                <w:szCs w:val="18"/>
              </w:rPr>
            </w:pPr>
            <w:r>
              <w:rPr>
                <w:rFonts w:hint="eastAsia" w:asci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A651451">
            <w:pPr>
              <w:widowControl/>
              <w:jc w:val="center"/>
              <w:rPr>
                <w:rFonts w:ascii="宋体" w:cs="宋体"/>
                <w:color w:val="000000"/>
                <w:kern w:val="0"/>
                <w:sz w:val="18"/>
                <w:szCs w:val="18"/>
              </w:rPr>
            </w:pPr>
            <w:r>
              <w:rPr>
                <w:rFonts w:hint="eastAsia" w:ascii="宋体" w:cs="宋体"/>
                <w:color w:val="000000"/>
                <w:kern w:val="0"/>
                <w:sz w:val="18"/>
                <w:szCs w:val="18"/>
              </w:rPr>
              <w:t>X＜10</w:t>
            </w:r>
          </w:p>
        </w:tc>
      </w:tr>
      <w:tr w14:paraId="0160C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0C20E4A"/>
        </w:tc>
        <w:tc>
          <w:tcPr>
            <w:tcW w:w="1369" w:type="dxa"/>
            <w:tcBorders>
              <w:top w:val="nil"/>
              <w:left w:val="nil"/>
              <w:bottom w:val="single" w:color="auto" w:sz="4" w:space="0"/>
              <w:right w:val="single" w:color="auto" w:sz="4" w:space="0"/>
            </w:tcBorders>
            <w:shd w:val="clear" w:color="auto" w:fill="auto"/>
            <w:vAlign w:val="center"/>
          </w:tcPr>
          <w:p w14:paraId="75B0CC71">
            <w:pPr>
              <w:widowControl/>
              <w:spacing w:line="240" w:lineRule="exact"/>
              <w:jc w:val="center"/>
              <w:rPr>
                <w:rFonts w:ascii="宋体" w:cs="宋体"/>
                <w:color w:val="000000"/>
                <w:kern w:val="0"/>
                <w:sz w:val="18"/>
                <w:szCs w:val="18"/>
              </w:rPr>
            </w:pPr>
            <w:r>
              <w:rPr>
                <w:rFonts w:hint="eastAsia" w:asci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D6B06F0">
            <w:pPr>
              <w:widowControl/>
              <w:jc w:val="center"/>
              <w:rPr>
                <w:rFonts w:ascii="宋体" w:cs="宋体"/>
                <w:color w:val="000000"/>
                <w:kern w:val="0"/>
                <w:sz w:val="18"/>
                <w:szCs w:val="18"/>
              </w:rPr>
            </w:pPr>
            <w:r>
              <w:rPr>
                <w:rFonts w:hint="eastAsia" w:asci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FB9B0BB">
            <w:pPr>
              <w:widowControl/>
              <w:jc w:val="center"/>
              <w:rPr>
                <w:rFonts w:ascii="宋体" w:cs="宋体"/>
                <w:color w:val="000000"/>
                <w:kern w:val="0"/>
                <w:sz w:val="18"/>
                <w:szCs w:val="18"/>
              </w:rPr>
            </w:pPr>
            <w:r>
              <w:rPr>
                <w:rFonts w:hint="eastAsia" w:asci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378C66E">
            <w:pPr>
              <w:widowControl/>
              <w:jc w:val="center"/>
              <w:rPr>
                <w:rFonts w:ascii="宋体" w:cs="宋体"/>
                <w:color w:val="000000"/>
                <w:kern w:val="0"/>
                <w:sz w:val="18"/>
                <w:szCs w:val="18"/>
              </w:rPr>
            </w:pPr>
            <w:r>
              <w:rPr>
                <w:rFonts w:hint="eastAsia" w:asci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0C6F7460">
            <w:pPr>
              <w:widowControl/>
              <w:jc w:val="center"/>
              <w:rPr>
                <w:rFonts w:ascii="宋体" w:cs="宋体"/>
                <w:color w:val="000000"/>
                <w:kern w:val="0"/>
                <w:sz w:val="18"/>
                <w:szCs w:val="18"/>
              </w:rPr>
            </w:pPr>
            <w:r>
              <w:rPr>
                <w:rFonts w:hint="eastAsia" w:asci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9DEB404">
            <w:pPr>
              <w:widowControl/>
              <w:jc w:val="center"/>
              <w:rPr>
                <w:rFonts w:ascii="宋体" w:cs="宋体"/>
                <w:color w:val="000000"/>
                <w:kern w:val="0"/>
                <w:sz w:val="18"/>
                <w:szCs w:val="18"/>
              </w:rPr>
            </w:pPr>
            <w:r>
              <w:rPr>
                <w:rFonts w:hint="eastAsia" w:ascii="宋体" w:cs="宋体"/>
                <w:color w:val="000000"/>
                <w:kern w:val="0"/>
                <w:sz w:val="18"/>
                <w:szCs w:val="18"/>
              </w:rPr>
              <w:t>Y＜100</w:t>
            </w:r>
          </w:p>
        </w:tc>
      </w:tr>
      <w:tr w14:paraId="489AC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5203FE2">
            <w:pPr>
              <w:widowControl/>
              <w:spacing w:line="240" w:lineRule="exact"/>
              <w:jc w:val="left"/>
              <w:rPr>
                <w:rFonts w:ascii="宋体" w:cs="宋体"/>
                <w:color w:val="000000"/>
                <w:kern w:val="0"/>
                <w:sz w:val="18"/>
                <w:szCs w:val="18"/>
              </w:rPr>
            </w:pPr>
            <w:r>
              <w:rPr>
                <w:rFonts w:hint="eastAsia" w:asci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6C52274A">
            <w:pPr>
              <w:widowControl/>
              <w:jc w:val="center"/>
              <w:rPr>
                <w:rFonts w:ascii="宋体" w:cs="宋体"/>
                <w:color w:val="000000"/>
                <w:kern w:val="0"/>
                <w:sz w:val="18"/>
                <w:szCs w:val="18"/>
              </w:rPr>
            </w:pPr>
            <w:r>
              <w:rPr>
                <w:rFonts w:hint="eastAsia" w:asci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52FA363">
            <w:pPr>
              <w:widowControl/>
              <w:jc w:val="center"/>
              <w:rPr>
                <w:rFonts w:ascii="宋体" w:cs="宋体"/>
                <w:color w:val="000000"/>
                <w:kern w:val="0"/>
                <w:sz w:val="18"/>
                <w:szCs w:val="18"/>
              </w:rPr>
            </w:pPr>
            <w:r>
              <w:rPr>
                <w:rFonts w:hint="eastAsia" w:asci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42B0DE0">
            <w:pPr>
              <w:widowControl/>
              <w:jc w:val="center"/>
              <w:rPr>
                <w:rFonts w:ascii="宋体" w:cs="宋体"/>
                <w:color w:val="000000"/>
                <w:kern w:val="0"/>
                <w:sz w:val="18"/>
                <w:szCs w:val="18"/>
              </w:rPr>
            </w:pPr>
            <w:r>
              <w:rPr>
                <w:rFonts w:hint="eastAsia" w:asci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B4D10EC">
            <w:pPr>
              <w:widowControl/>
              <w:jc w:val="center"/>
              <w:rPr>
                <w:rFonts w:ascii="宋体" w:cs="宋体"/>
                <w:color w:val="000000"/>
                <w:kern w:val="0"/>
                <w:sz w:val="18"/>
                <w:szCs w:val="18"/>
              </w:rPr>
            </w:pPr>
            <w:r>
              <w:rPr>
                <w:rFonts w:hint="eastAsia" w:asci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4F3F3BB9">
            <w:pPr>
              <w:widowControl/>
              <w:jc w:val="center"/>
              <w:rPr>
                <w:rFonts w:ascii="宋体" w:cs="宋体"/>
                <w:color w:val="000000"/>
                <w:kern w:val="0"/>
                <w:sz w:val="18"/>
                <w:szCs w:val="18"/>
              </w:rPr>
            </w:pPr>
            <w:r>
              <w:rPr>
                <w:rFonts w:hint="eastAsia" w:asci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5A56EA88">
            <w:pPr>
              <w:widowControl/>
              <w:jc w:val="center"/>
              <w:rPr>
                <w:rFonts w:ascii="宋体" w:cs="宋体"/>
                <w:color w:val="000000"/>
                <w:kern w:val="0"/>
                <w:sz w:val="18"/>
                <w:szCs w:val="18"/>
              </w:rPr>
            </w:pPr>
            <w:r>
              <w:rPr>
                <w:rFonts w:hint="eastAsia" w:ascii="宋体" w:cs="宋体"/>
                <w:color w:val="000000"/>
                <w:kern w:val="0"/>
                <w:sz w:val="18"/>
                <w:szCs w:val="18"/>
              </w:rPr>
              <w:t>X＜10</w:t>
            </w:r>
          </w:p>
        </w:tc>
      </w:tr>
      <w:tr w14:paraId="55777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0DB8EEA"/>
        </w:tc>
        <w:tc>
          <w:tcPr>
            <w:tcW w:w="1369" w:type="dxa"/>
            <w:tcBorders>
              <w:top w:val="nil"/>
              <w:left w:val="nil"/>
              <w:bottom w:val="single" w:color="auto" w:sz="4" w:space="0"/>
              <w:right w:val="single" w:color="auto" w:sz="4" w:space="0"/>
            </w:tcBorders>
            <w:shd w:val="clear" w:color="auto" w:fill="auto"/>
            <w:vAlign w:val="center"/>
          </w:tcPr>
          <w:p w14:paraId="5F8AD8BC">
            <w:pPr>
              <w:widowControl/>
              <w:spacing w:line="240" w:lineRule="exact"/>
              <w:jc w:val="center"/>
              <w:rPr>
                <w:rFonts w:ascii="宋体" w:cs="宋体"/>
                <w:color w:val="000000"/>
                <w:kern w:val="0"/>
                <w:sz w:val="18"/>
                <w:szCs w:val="18"/>
              </w:rPr>
            </w:pPr>
            <w:r>
              <w:rPr>
                <w:rFonts w:hint="eastAsia" w:asci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73953D1">
            <w:pPr>
              <w:widowControl/>
              <w:jc w:val="center"/>
              <w:rPr>
                <w:rFonts w:ascii="宋体" w:cs="宋体"/>
                <w:color w:val="000000"/>
                <w:kern w:val="0"/>
                <w:sz w:val="18"/>
                <w:szCs w:val="18"/>
              </w:rPr>
            </w:pPr>
            <w:r>
              <w:rPr>
                <w:rFonts w:hint="eastAsia" w:asci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77BB283">
            <w:pPr>
              <w:widowControl/>
              <w:jc w:val="center"/>
              <w:rPr>
                <w:rFonts w:ascii="宋体" w:cs="宋体"/>
                <w:color w:val="000000"/>
                <w:kern w:val="0"/>
                <w:sz w:val="18"/>
                <w:szCs w:val="18"/>
              </w:rPr>
            </w:pPr>
            <w:r>
              <w:rPr>
                <w:rFonts w:hint="eastAsia" w:asci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533E8E4A">
            <w:pPr>
              <w:widowControl/>
              <w:jc w:val="center"/>
              <w:rPr>
                <w:rFonts w:ascii="宋体" w:cs="宋体"/>
                <w:color w:val="000000"/>
                <w:kern w:val="0"/>
                <w:sz w:val="18"/>
                <w:szCs w:val="18"/>
              </w:rPr>
            </w:pPr>
            <w:r>
              <w:rPr>
                <w:rFonts w:hint="eastAsia" w:asci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64A85ACB">
            <w:pPr>
              <w:widowControl/>
              <w:jc w:val="center"/>
              <w:rPr>
                <w:rFonts w:ascii="宋体" w:cs="宋体"/>
                <w:color w:val="000000"/>
                <w:kern w:val="0"/>
                <w:sz w:val="18"/>
                <w:szCs w:val="18"/>
              </w:rPr>
            </w:pPr>
            <w:r>
              <w:rPr>
                <w:rFonts w:hint="eastAsia" w:asci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4AFDC26A">
            <w:pPr>
              <w:widowControl/>
              <w:jc w:val="center"/>
              <w:rPr>
                <w:rFonts w:ascii="宋体" w:cs="宋体"/>
                <w:color w:val="000000"/>
                <w:kern w:val="0"/>
                <w:sz w:val="18"/>
                <w:szCs w:val="18"/>
              </w:rPr>
            </w:pPr>
            <w:r>
              <w:rPr>
                <w:rFonts w:hint="eastAsia" w:ascii="宋体" w:cs="宋体"/>
                <w:color w:val="000000"/>
                <w:kern w:val="0"/>
                <w:sz w:val="18"/>
                <w:szCs w:val="18"/>
              </w:rPr>
              <w:t>Y＜100</w:t>
            </w:r>
          </w:p>
        </w:tc>
      </w:tr>
      <w:tr w14:paraId="68403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14CB8436">
            <w:pPr>
              <w:widowControl/>
              <w:spacing w:line="240" w:lineRule="exact"/>
              <w:jc w:val="left"/>
              <w:rPr>
                <w:rFonts w:ascii="宋体" w:cs="宋体"/>
                <w:color w:val="000000"/>
                <w:spacing w:val="-12"/>
                <w:kern w:val="0"/>
                <w:sz w:val="18"/>
                <w:szCs w:val="18"/>
              </w:rPr>
            </w:pPr>
            <w:r>
              <w:rPr>
                <w:rFonts w:hint="eastAsia" w:ascii="宋体" w:cs="宋体"/>
                <w:color w:val="000000"/>
                <w:spacing w:val="-12"/>
                <w:kern w:val="0"/>
                <w:sz w:val="18"/>
                <w:szCs w:val="18"/>
              </w:rPr>
              <w:t>软件和信息技术服</w:t>
            </w:r>
            <w:r>
              <w:rPr>
                <w:rFonts w:hint="eastAsia" w:asci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4A34BB7C">
            <w:pPr>
              <w:widowControl/>
              <w:jc w:val="center"/>
              <w:rPr>
                <w:rFonts w:ascii="宋体" w:cs="宋体"/>
                <w:color w:val="000000"/>
                <w:kern w:val="0"/>
                <w:sz w:val="18"/>
                <w:szCs w:val="18"/>
              </w:rPr>
            </w:pPr>
            <w:r>
              <w:rPr>
                <w:rFonts w:hint="eastAsia" w:asci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1ABE4D5">
            <w:pPr>
              <w:widowControl/>
              <w:jc w:val="center"/>
              <w:rPr>
                <w:rFonts w:ascii="宋体" w:cs="宋体"/>
                <w:color w:val="000000"/>
                <w:kern w:val="0"/>
                <w:sz w:val="18"/>
                <w:szCs w:val="18"/>
              </w:rPr>
            </w:pPr>
            <w:r>
              <w:rPr>
                <w:rFonts w:hint="eastAsia" w:asci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7C1FA3F">
            <w:pPr>
              <w:widowControl/>
              <w:jc w:val="center"/>
              <w:rPr>
                <w:rFonts w:ascii="宋体" w:cs="宋体"/>
                <w:color w:val="000000"/>
                <w:kern w:val="0"/>
                <w:sz w:val="18"/>
                <w:szCs w:val="18"/>
              </w:rPr>
            </w:pPr>
            <w:r>
              <w:rPr>
                <w:rFonts w:hint="eastAsia" w:asci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4325E20">
            <w:pPr>
              <w:widowControl/>
              <w:ind w:left="1" w:leftChars="-51" w:hanging="108" w:hangingChars="60"/>
              <w:jc w:val="center"/>
              <w:rPr>
                <w:rFonts w:ascii="宋体" w:cs="宋体"/>
                <w:color w:val="000000"/>
                <w:kern w:val="0"/>
                <w:sz w:val="18"/>
                <w:szCs w:val="18"/>
              </w:rPr>
            </w:pPr>
            <w:r>
              <w:rPr>
                <w:rFonts w:hint="eastAsia" w:asci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F3D0928">
            <w:pPr>
              <w:widowControl/>
              <w:jc w:val="center"/>
              <w:rPr>
                <w:rFonts w:ascii="宋体" w:cs="宋体"/>
                <w:color w:val="000000"/>
                <w:kern w:val="0"/>
                <w:sz w:val="18"/>
                <w:szCs w:val="18"/>
              </w:rPr>
            </w:pPr>
            <w:r>
              <w:rPr>
                <w:rFonts w:hint="eastAsia" w:asci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6286A3A">
            <w:pPr>
              <w:widowControl/>
              <w:jc w:val="center"/>
              <w:rPr>
                <w:rFonts w:ascii="宋体" w:cs="宋体"/>
                <w:color w:val="000000"/>
                <w:kern w:val="0"/>
                <w:sz w:val="18"/>
                <w:szCs w:val="18"/>
              </w:rPr>
            </w:pPr>
            <w:r>
              <w:rPr>
                <w:rFonts w:hint="eastAsia" w:ascii="宋体" w:cs="宋体"/>
                <w:color w:val="000000"/>
                <w:kern w:val="0"/>
                <w:sz w:val="18"/>
                <w:szCs w:val="18"/>
              </w:rPr>
              <w:t>X＜10</w:t>
            </w:r>
          </w:p>
        </w:tc>
      </w:tr>
      <w:tr w14:paraId="72953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3B862836"/>
        </w:tc>
        <w:tc>
          <w:tcPr>
            <w:tcW w:w="1369" w:type="dxa"/>
            <w:tcBorders>
              <w:top w:val="nil"/>
              <w:left w:val="nil"/>
              <w:bottom w:val="single" w:color="auto" w:sz="4" w:space="0"/>
              <w:right w:val="single" w:color="auto" w:sz="4" w:space="0"/>
            </w:tcBorders>
            <w:shd w:val="clear" w:color="auto" w:fill="auto"/>
            <w:vAlign w:val="center"/>
          </w:tcPr>
          <w:p w14:paraId="62C28317">
            <w:pPr>
              <w:widowControl/>
              <w:jc w:val="center"/>
              <w:rPr>
                <w:rFonts w:ascii="宋体" w:cs="宋体"/>
                <w:color w:val="000000"/>
                <w:kern w:val="0"/>
                <w:sz w:val="18"/>
                <w:szCs w:val="18"/>
              </w:rPr>
            </w:pPr>
            <w:r>
              <w:rPr>
                <w:rFonts w:hint="eastAsia" w:asci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05D4305">
            <w:pPr>
              <w:widowControl/>
              <w:jc w:val="center"/>
              <w:rPr>
                <w:rFonts w:ascii="宋体" w:cs="宋体"/>
                <w:color w:val="000000"/>
                <w:kern w:val="0"/>
                <w:sz w:val="18"/>
                <w:szCs w:val="18"/>
              </w:rPr>
            </w:pPr>
            <w:r>
              <w:rPr>
                <w:rFonts w:hint="eastAsia" w:asci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8708C38">
            <w:pPr>
              <w:widowControl/>
              <w:jc w:val="center"/>
              <w:rPr>
                <w:rFonts w:ascii="宋体" w:cs="宋体"/>
                <w:color w:val="000000"/>
                <w:kern w:val="0"/>
                <w:sz w:val="18"/>
                <w:szCs w:val="18"/>
              </w:rPr>
            </w:pPr>
            <w:r>
              <w:rPr>
                <w:rFonts w:hint="eastAsia" w:asci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CD468DD">
            <w:pPr>
              <w:widowControl/>
              <w:jc w:val="center"/>
              <w:rPr>
                <w:rFonts w:ascii="宋体" w:cs="宋体"/>
                <w:color w:val="000000"/>
                <w:kern w:val="0"/>
                <w:sz w:val="18"/>
                <w:szCs w:val="18"/>
              </w:rPr>
            </w:pPr>
            <w:r>
              <w:rPr>
                <w:rFonts w:hint="eastAsia" w:asci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4F78A799">
            <w:pPr>
              <w:widowControl/>
              <w:jc w:val="center"/>
              <w:rPr>
                <w:rFonts w:ascii="宋体" w:cs="宋体"/>
                <w:color w:val="000000"/>
                <w:kern w:val="0"/>
                <w:sz w:val="18"/>
                <w:szCs w:val="18"/>
              </w:rPr>
            </w:pPr>
            <w:r>
              <w:rPr>
                <w:rFonts w:hint="eastAsia" w:asci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7C48E033">
            <w:pPr>
              <w:widowControl/>
              <w:jc w:val="center"/>
              <w:rPr>
                <w:rFonts w:ascii="宋体" w:cs="宋体"/>
                <w:color w:val="000000"/>
                <w:kern w:val="0"/>
                <w:sz w:val="18"/>
                <w:szCs w:val="18"/>
              </w:rPr>
            </w:pPr>
            <w:r>
              <w:rPr>
                <w:rFonts w:hint="eastAsia" w:ascii="宋体" w:cs="宋体"/>
                <w:color w:val="000000"/>
                <w:kern w:val="0"/>
                <w:sz w:val="18"/>
                <w:szCs w:val="18"/>
              </w:rPr>
              <w:t>Y＜50</w:t>
            </w:r>
          </w:p>
        </w:tc>
      </w:tr>
      <w:tr w14:paraId="36991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A529F55">
            <w:pPr>
              <w:widowControl/>
              <w:spacing w:line="240" w:lineRule="exact"/>
              <w:jc w:val="left"/>
              <w:rPr>
                <w:rFonts w:ascii="宋体" w:cs="宋体"/>
                <w:color w:val="000000"/>
                <w:kern w:val="0"/>
                <w:sz w:val="18"/>
                <w:szCs w:val="18"/>
              </w:rPr>
            </w:pPr>
            <w:r>
              <w:rPr>
                <w:rFonts w:hint="eastAsia" w:asci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7F3090FD">
            <w:pPr>
              <w:widowControl/>
              <w:jc w:val="center"/>
              <w:rPr>
                <w:rFonts w:ascii="宋体" w:cs="宋体"/>
                <w:color w:val="000000"/>
                <w:kern w:val="0"/>
                <w:sz w:val="18"/>
                <w:szCs w:val="18"/>
              </w:rPr>
            </w:pPr>
            <w:r>
              <w:rPr>
                <w:rFonts w:hint="eastAsia" w:asci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22D255ED">
            <w:pPr>
              <w:widowControl/>
              <w:jc w:val="center"/>
              <w:rPr>
                <w:rFonts w:ascii="宋体" w:cs="宋体"/>
                <w:color w:val="000000"/>
                <w:kern w:val="0"/>
                <w:sz w:val="18"/>
                <w:szCs w:val="18"/>
              </w:rPr>
            </w:pPr>
            <w:r>
              <w:rPr>
                <w:rFonts w:hint="eastAsia" w:asci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22D4A598">
            <w:pPr>
              <w:widowControl/>
              <w:jc w:val="center"/>
              <w:rPr>
                <w:rFonts w:ascii="宋体" w:cs="宋体"/>
                <w:color w:val="000000"/>
                <w:kern w:val="0"/>
                <w:sz w:val="18"/>
                <w:szCs w:val="18"/>
              </w:rPr>
            </w:pPr>
            <w:r>
              <w:rPr>
                <w:rFonts w:hint="eastAsia" w:asci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59641675">
            <w:pPr>
              <w:widowControl/>
              <w:jc w:val="center"/>
              <w:rPr>
                <w:rFonts w:ascii="宋体" w:cs="宋体"/>
                <w:color w:val="000000"/>
                <w:kern w:val="0"/>
                <w:sz w:val="18"/>
                <w:szCs w:val="18"/>
              </w:rPr>
            </w:pPr>
            <w:r>
              <w:rPr>
                <w:rFonts w:hint="eastAsia" w:asci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557B241F">
            <w:pPr>
              <w:widowControl/>
              <w:jc w:val="center"/>
              <w:rPr>
                <w:rFonts w:ascii="宋体" w:cs="宋体"/>
                <w:color w:val="000000"/>
                <w:kern w:val="0"/>
                <w:sz w:val="18"/>
                <w:szCs w:val="18"/>
              </w:rPr>
            </w:pPr>
            <w:r>
              <w:rPr>
                <w:rFonts w:hint="eastAsia" w:asci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01685313">
            <w:pPr>
              <w:widowControl/>
              <w:jc w:val="center"/>
              <w:rPr>
                <w:rFonts w:ascii="宋体" w:cs="宋体"/>
                <w:color w:val="000000"/>
                <w:kern w:val="0"/>
                <w:sz w:val="18"/>
                <w:szCs w:val="18"/>
              </w:rPr>
            </w:pPr>
            <w:r>
              <w:rPr>
                <w:rFonts w:hint="eastAsia" w:ascii="宋体" w:cs="宋体"/>
                <w:color w:val="000000"/>
                <w:kern w:val="0"/>
                <w:sz w:val="18"/>
                <w:szCs w:val="18"/>
              </w:rPr>
              <w:t>Y＜100</w:t>
            </w:r>
          </w:p>
        </w:tc>
      </w:tr>
      <w:tr w14:paraId="091EB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2FC715E"/>
        </w:tc>
        <w:tc>
          <w:tcPr>
            <w:tcW w:w="1369" w:type="dxa"/>
            <w:tcBorders>
              <w:top w:val="nil"/>
              <w:left w:val="nil"/>
              <w:bottom w:val="single" w:color="auto" w:sz="4" w:space="0"/>
              <w:right w:val="single" w:color="auto" w:sz="4" w:space="0"/>
            </w:tcBorders>
            <w:shd w:val="clear" w:color="auto" w:fill="auto"/>
            <w:vAlign w:val="center"/>
          </w:tcPr>
          <w:p w14:paraId="4DD48501">
            <w:pPr>
              <w:widowControl/>
              <w:spacing w:line="240" w:lineRule="exact"/>
              <w:jc w:val="center"/>
              <w:rPr>
                <w:rFonts w:ascii="宋体" w:cs="宋体"/>
                <w:color w:val="000000"/>
                <w:kern w:val="0"/>
                <w:sz w:val="18"/>
                <w:szCs w:val="18"/>
              </w:rPr>
            </w:pPr>
            <w:r>
              <w:rPr>
                <w:rFonts w:hint="eastAsia" w:asci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23EA1781">
            <w:pPr>
              <w:widowControl/>
              <w:jc w:val="center"/>
              <w:rPr>
                <w:rFonts w:ascii="宋体" w:cs="宋体"/>
                <w:color w:val="000000"/>
                <w:kern w:val="0"/>
                <w:sz w:val="18"/>
                <w:szCs w:val="18"/>
              </w:rPr>
            </w:pPr>
            <w:r>
              <w:rPr>
                <w:rFonts w:hint="eastAsia" w:asci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E6798BC">
            <w:pPr>
              <w:widowControl/>
              <w:jc w:val="center"/>
              <w:rPr>
                <w:rFonts w:ascii="宋体" w:cs="宋体"/>
                <w:color w:val="000000"/>
                <w:kern w:val="0"/>
                <w:sz w:val="18"/>
                <w:szCs w:val="18"/>
              </w:rPr>
            </w:pPr>
            <w:r>
              <w:rPr>
                <w:rFonts w:hint="eastAsia" w:asci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45AF7BFC">
            <w:pPr>
              <w:widowControl/>
              <w:jc w:val="center"/>
              <w:rPr>
                <w:rFonts w:ascii="宋体" w:cs="宋体"/>
                <w:color w:val="000000"/>
                <w:kern w:val="0"/>
                <w:sz w:val="18"/>
                <w:szCs w:val="18"/>
              </w:rPr>
            </w:pPr>
            <w:r>
              <w:rPr>
                <w:rFonts w:hint="eastAsia" w:asci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1E479013">
            <w:pPr>
              <w:widowControl/>
              <w:jc w:val="center"/>
              <w:rPr>
                <w:rFonts w:ascii="宋体" w:cs="宋体"/>
                <w:color w:val="000000"/>
                <w:kern w:val="0"/>
                <w:sz w:val="18"/>
                <w:szCs w:val="18"/>
              </w:rPr>
            </w:pPr>
            <w:r>
              <w:rPr>
                <w:rFonts w:hint="eastAsia" w:asci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3A7770D8">
            <w:pPr>
              <w:widowControl/>
              <w:jc w:val="center"/>
              <w:rPr>
                <w:rFonts w:ascii="宋体" w:cs="宋体"/>
                <w:color w:val="000000"/>
                <w:kern w:val="0"/>
                <w:sz w:val="18"/>
                <w:szCs w:val="18"/>
              </w:rPr>
            </w:pPr>
            <w:r>
              <w:rPr>
                <w:rFonts w:hint="eastAsia" w:ascii="宋体" w:cs="宋体"/>
                <w:color w:val="000000"/>
                <w:kern w:val="0"/>
                <w:sz w:val="18"/>
                <w:szCs w:val="18"/>
              </w:rPr>
              <w:t>Z＜2000</w:t>
            </w:r>
          </w:p>
        </w:tc>
      </w:tr>
      <w:tr w14:paraId="14B8E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09B6570">
            <w:pPr>
              <w:widowControl/>
              <w:spacing w:line="240" w:lineRule="exact"/>
              <w:jc w:val="left"/>
              <w:rPr>
                <w:rFonts w:ascii="宋体" w:cs="宋体"/>
                <w:color w:val="000000"/>
                <w:kern w:val="0"/>
                <w:sz w:val="18"/>
                <w:szCs w:val="18"/>
              </w:rPr>
            </w:pPr>
            <w:r>
              <w:rPr>
                <w:rFonts w:hint="eastAsia" w:asci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5A0A1789">
            <w:pPr>
              <w:widowControl/>
              <w:jc w:val="center"/>
              <w:rPr>
                <w:rFonts w:ascii="宋体" w:cs="宋体"/>
                <w:color w:val="000000"/>
                <w:kern w:val="0"/>
                <w:sz w:val="18"/>
                <w:szCs w:val="18"/>
              </w:rPr>
            </w:pPr>
            <w:r>
              <w:rPr>
                <w:rFonts w:hint="eastAsia" w:asci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A032256">
            <w:pPr>
              <w:widowControl/>
              <w:jc w:val="center"/>
              <w:rPr>
                <w:rFonts w:ascii="宋体" w:cs="宋体"/>
                <w:color w:val="000000"/>
                <w:kern w:val="0"/>
                <w:sz w:val="18"/>
                <w:szCs w:val="18"/>
              </w:rPr>
            </w:pPr>
            <w:r>
              <w:rPr>
                <w:rFonts w:hint="eastAsia" w:asci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80441C0">
            <w:pPr>
              <w:widowControl/>
              <w:jc w:val="center"/>
              <w:rPr>
                <w:rFonts w:ascii="宋体" w:cs="宋体"/>
                <w:color w:val="000000"/>
                <w:kern w:val="0"/>
                <w:sz w:val="18"/>
                <w:szCs w:val="18"/>
              </w:rPr>
            </w:pPr>
            <w:r>
              <w:rPr>
                <w:rFonts w:hint="eastAsia" w:asci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207AB7B">
            <w:pPr>
              <w:widowControl/>
              <w:jc w:val="center"/>
              <w:rPr>
                <w:rFonts w:ascii="宋体" w:cs="宋体"/>
                <w:color w:val="000000"/>
                <w:kern w:val="0"/>
                <w:sz w:val="18"/>
                <w:szCs w:val="18"/>
              </w:rPr>
            </w:pPr>
            <w:r>
              <w:rPr>
                <w:rFonts w:hint="eastAsia" w:asci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6815D2A6">
            <w:pPr>
              <w:widowControl/>
              <w:jc w:val="center"/>
              <w:rPr>
                <w:rFonts w:ascii="宋体" w:cs="宋体"/>
                <w:color w:val="000000"/>
                <w:kern w:val="0"/>
                <w:sz w:val="18"/>
                <w:szCs w:val="18"/>
              </w:rPr>
            </w:pPr>
            <w:r>
              <w:rPr>
                <w:rFonts w:hint="eastAsia" w:asci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79BCF741">
            <w:pPr>
              <w:widowControl/>
              <w:jc w:val="center"/>
              <w:rPr>
                <w:rFonts w:ascii="宋体" w:cs="宋体"/>
                <w:color w:val="000000"/>
                <w:kern w:val="0"/>
                <w:sz w:val="18"/>
                <w:szCs w:val="18"/>
              </w:rPr>
            </w:pPr>
            <w:r>
              <w:rPr>
                <w:rFonts w:hint="eastAsia" w:ascii="宋体" w:cs="宋体"/>
                <w:color w:val="000000"/>
                <w:kern w:val="0"/>
                <w:sz w:val="18"/>
                <w:szCs w:val="18"/>
              </w:rPr>
              <w:t>X＜100</w:t>
            </w:r>
          </w:p>
        </w:tc>
      </w:tr>
      <w:tr w14:paraId="6C53B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0CEB6096"/>
        </w:tc>
        <w:tc>
          <w:tcPr>
            <w:tcW w:w="1369" w:type="dxa"/>
            <w:tcBorders>
              <w:top w:val="nil"/>
              <w:left w:val="nil"/>
              <w:bottom w:val="single" w:color="auto" w:sz="4" w:space="0"/>
              <w:right w:val="single" w:color="auto" w:sz="4" w:space="0"/>
            </w:tcBorders>
            <w:shd w:val="clear" w:color="auto" w:fill="auto"/>
            <w:vAlign w:val="center"/>
          </w:tcPr>
          <w:p w14:paraId="32C28456">
            <w:pPr>
              <w:widowControl/>
              <w:spacing w:line="240" w:lineRule="exact"/>
              <w:jc w:val="center"/>
              <w:rPr>
                <w:rFonts w:ascii="宋体" w:cs="宋体"/>
                <w:color w:val="000000"/>
                <w:kern w:val="0"/>
                <w:sz w:val="18"/>
                <w:szCs w:val="18"/>
              </w:rPr>
            </w:pPr>
            <w:r>
              <w:rPr>
                <w:rFonts w:hint="eastAsia" w:asci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17C09E8">
            <w:pPr>
              <w:widowControl/>
              <w:jc w:val="center"/>
              <w:rPr>
                <w:rFonts w:ascii="宋体" w:cs="宋体"/>
                <w:color w:val="000000"/>
                <w:kern w:val="0"/>
                <w:sz w:val="18"/>
                <w:szCs w:val="18"/>
              </w:rPr>
            </w:pPr>
            <w:r>
              <w:rPr>
                <w:rFonts w:hint="eastAsia" w:asci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EC016F0">
            <w:pPr>
              <w:widowControl/>
              <w:jc w:val="center"/>
              <w:rPr>
                <w:rFonts w:ascii="宋体" w:cs="宋体"/>
                <w:color w:val="000000"/>
                <w:kern w:val="0"/>
                <w:sz w:val="18"/>
                <w:szCs w:val="18"/>
              </w:rPr>
            </w:pPr>
            <w:r>
              <w:rPr>
                <w:rFonts w:hint="eastAsia" w:asci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313785C5">
            <w:pPr>
              <w:widowControl/>
              <w:ind w:left="1" w:leftChars="-51" w:hanging="108" w:hangingChars="60"/>
              <w:jc w:val="center"/>
              <w:rPr>
                <w:rFonts w:ascii="宋体" w:cs="宋体"/>
                <w:color w:val="000000"/>
                <w:kern w:val="0"/>
                <w:sz w:val="18"/>
                <w:szCs w:val="18"/>
              </w:rPr>
            </w:pPr>
            <w:r>
              <w:rPr>
                <w:rFonts w:hint="eastAsia" w:asci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7169CF13">
            <w:pPr>
              <w:widowControl/>
              <w:jc w:val="center"/>
              <w:rPr>
                <w:rFonts w:ascii="宋体" w:cs="宋体"/>
                <w:color w:val="000000"/>
                <w:kern w:val="0"/>
                <w:sz w:val="18"/>
                <w:szCs w:val="18"/>
              </w:rPr>
            </w:pPr>
            <w:r>
              <w:rPr>
                <w:rFonts w:hint="eastAsia" w:asci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76BEAB86">
            <w:pPr>
              <w:widowControl/>
              <w:jc w:val="center"/>
              <w:rPr>
                <w:rFonts w:ascii="宋体" w:cs="宋体"/>
                <w:color w:val="000000"/>
                <w:kern w:val="0"/>
                <w:sz w:val="18"/>
                <w:szCs w:val="18"/>
              </w:rPr>
            </w:pPr>
            <w:r>
              <w:rPr>
                <w:rFonts w:hint="eastAsia" w:ascii="宋体" w:cs="宋体"/>
                <w:color w:val="000000"/>
                <w:kern w:val="0"/>
                <w:sz w:val="18"/>
                <w:szCs w:val="18"/>
              </w:rPr>
              <w:t>Y＜500</w:t>
            </w:r>
          </w:p>
        </w:tc>
      </w:tr>
      <w:tr w14:paraId="0EAC3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9FC88E6">
            <w:pPr>
              <w:widowControl/>
              <w:spacing w:line="240" w:lineRule="exact"/>
              <w:jc w:val="left"/>
              <w:rPr>
                <w:rFonts w:ascii="宋体" w:cs="宋体"/>
                <w:color w:val="000000"/>
                <w:kern w:val="0"/>
                <w:sz w:val="18"/>
                <w:szCs w:val="18"/>
              </w:rPr>
            </w:pPr>
            <w:r>
              <w:rPr>
                <w:rFonts w:hint="eastAsia" w:asci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707D008C">
            <w:pPr>
              <w:widowControl/>
              <w:jc w:val="center"/>
              <w:rPr>
                <w:rFonts w:ascii="宋体" w:cs="宋体"/>
                <w:color w:val="000000"/>
                <w:kern w:val="0"/>
                <w:sz w:val="18"/>
                <w:szCs w:val="18"/>
              </w:rPr>
            </w:pPr>
            <w:r>
              <w:rPr>
                <w:rFonts w:hint="eastAsia" w:asci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CF88F5C">
            <w:pPr>
              <w:widowControl/>
              <w:jc w:val="center"/>
              <w:rPr>
                <w:rFonts w:ascii="宋体" w:cs="宋体"/>
                <w:color w:val="000000"/>
                <w:kern w:val="0"/>
                <w:sz w:val="18"/>
                <w:szCs w:val="18"/>
              </w:rPr>
            </w:pPr>
            <w:r>
              <w:rPr>
                <w:rFonts w:hint="eastAsia" w:asci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D98ACD6">
            <w:pPr>
              <w:widowControl/>
              <w:jc w:val="center"/>
              <w:rPr>
                <w:rFonts w:ascii="宋体" w:cs="宋体"/>
                <w:color w:val="000000"/>
                <w:kern w:val="0"/>
                <w:sz w:val="18"/>
                <w:szCs w:val="18"/>
              </w:rPr>
            </w:pPr>
            <w:r>
              <w:rPr>
                <w:rFonts w:hint="eastAsia" w:asci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1516D8B">
            <w:pPr>
              <w:widowControl/>
              <w:ind w:left="1" w:leftChars="-51" w:hanging="108" w:hangingChars="60"/>
              <w:jc w:val="center"/>
              <w:rPr>
                <w:rFonts w:ascii="宋体" w:cs="宋体"/>
                <w:color w:val="000000"/>
                <w:kern w:val="0"/>
                <w:sz w:val="18"/>
                <w:szCs w:val="18"/>
              </w:rPr>
            </w:pPr>
            <w:r>
              <w:rPr>
                <w:rFonts w:hint="eastAsia" w:asci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1953C2AE">
            <w:pPr>
              <w:widowControl/>
              <w:jc w:val="center"/>
              <w:rPr>
                <w:rFonts w:ascii="宋体" w:cs="宋体"/>
                <w:color w:val="000000"/>
                <w:kern w:val="0"/>
                <w:sz w:val="18"/>
                <w:szCs w:val="18"/>
              </w:rPr>
            </w:pPr>
            <w:r>
              <w:rPr>
                <w:rFonts w:hint="eastAsia" w:asci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8E5F65C">
            <w:pPr>
              <w:widowControl/>
              <w:jc w:val="center"/>
              <w:rPr>
                <w:rFonts w:ascii="宋体" w:cs="宋体"/>
                <w:color w:val="000000"/>
                <w:kern w:val="0"/>
                <w:sz w:val="18"/>
                <w:szCs w:val="18"/>
              </w:rPr>
            </w:pPr>
            <w:r>
              <w:rPr>
                <w:rFonts w:hint="eastAsia" w:ascii="宋体" w:cs="宋体"/>
                <w:color w:val="000000"/>
                <w:kern w:val="0"/>
                <w:sz w:val="18"/>
                <w:szCs w:val="18"/>
              </w:rPr>
              <w:t>X＜10</w:t>
            </w:r>
          </w:p>
        </w:tc>
      </w:tr>
      <w:tr w14:paraId="3EE8A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572D20C1"/>
        </w:tc>
        <w:tc>
          <w:tcPr>
            <w:tcW w:w="1369" w:type="dxa"/>
            <w:tcBorders>
              <w:top w:val="nil"/>
              <w:left w:val="nil"/>
              <w:bottom w:val="single" w:color="auto" w:sz="4" w:space="0"/>
              <w:right w:val="single" w:color="auto" w:sz="4" w:space="0"/>
            </w:tcBorders>
            <w:shd w:val="clear" w:color="auto" w:fill="auto"/>
            <w:vAlign w:val="center"/>
          </w:tcPr>
          <w:p w14:paraId="2B64D608">
            <w:pPr>
              <w:widowControl/>
              <w:spacing w:line="240" w:lineRule="exact"/>
              <w:jc w:val="center"/>
              <w:rPr>
                <w:rFonts w:ascii="宋体" w:cs="宋体"/>
                <w:color w:val="000000"/>
                <w:kern w:val="0"/>
                <w:sz w:val="18"/>
                <w:szCs w:val="18"/>
              </w:rPr>
            </w:pPr>
            <w:r>
              <w:rPr>
                <w:rFonts w:hint="eastAsia" w:asci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89886A3">
            <w:pPr>
              <w:widowControl/>
              <w:jc w:val="center"/>
              <w:rPr>
                <w:rFonts w:ascii="宋体" w:cs="宋体"/>
                <w:color w:val="000000"/>
                <w:kern w:val="0"/>
                <w:sz w:val="18"/>
                <w:szCs w:val="18"/>
              </w:rPr>
            </w:pPr>
            <w:r>
              <w:rPr>
                <w:rFonts w:hint="eastAsia" w:asci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C50F472">
            <w:pPr>
              <w:widowControl/>
              <w:jc w:val="center"/>
              <w:rPr>
                <w:rFonts w:ascii="宋体" w:cs="宋体"/>
                <w:color w:val="000000"/>
                <w:kern w:val="0"/>
                <w:sz w:val="18"/>
                <w:szCs w:val="18"/>
              </w:rPr>
            </w:pPr>
            <w:r>
              <w:rPr>
                <w:rFonts w:hint="eastAsia" w:asci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5FC3DE21">
            <w:pPr>
              <w:widowControl/>
              <w:jc w:val="center"/>
              <w:rPr>
                <w:rFonts w:ascii="宋体" w:cs="宋体"/>
                <w:color w:val="000000"/>
                <w:kern w:val="0"/>
                <w:sz w:val="18"/>
                <w:szCs w:val="18"/>
              </w:rPr>
            </w:pPr>
            <w:r>
              <w:rPr>
                <w:rFonts w:hint="eastAsia" w:asci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23240699">
            <w:pPr>
              <w:widowControl/>
              <w:jc w:val="center"/>
              <w:rPr>
                <w:rFonts w:ascii="宋体" w:cs="宋体"/>
                <w:color w:val="000000"/>
                <w:kern w:val="0"/>
                <w:sz w:val="18"/>
                <w:szCs w:val="18"/>
              </w:rPr>
            </w:pPr>
            <w:r>
              <w:rPr>
                <w:rFonts w:hint="eastAsia" w:asci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472F2F2C">
            <w:pPr>
              <w:widowControl/>
              <w:jc w:val="center"/>
              <w:rPr>
                <w:rFonts w:ascii="宋体" w:cs="宋体"/>
                <w:color w:val="000000"/>
                <w:kern w:val="0"/>
                <w:sz w:val="18"/>
                <w:szCs w:val="18"/>
              </w:rPr>
            </w:pPr>
            <w:r>
              <w:rPr>
                <w:rFonts w:hint="eastAsia" w:ascii="宋体" w:cs="宋体"/>
                <w:color w:val="000000"/>
                <w:kern w:val="0"/>
                <w:sz w:val="18"/>
                <w:szCs w:val="18"/>
              </w:rPr>
              <w:t>Z＜100</w:t>
            </w:r>
          </w:p>
        </w:tc>
      </w:tr>
      <w:tr w14:paraId="62D5E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54828B3">
            <w:pPr>
              <w:widowControl/>
              <w:spacing w:line="240" w:lineRule="exact"/>
              <w:jc w:val="left"/>
              <w:rPr>
                <w:rFonts w:ascii="宋体" w:cs="宋体"/>
                <w:color w:val="000000"/>
                <w:kern w:val="0"/>
                <w:sz w:val="18"/>
                <w:szCs w:val="18"/>
              </w:rPr>
            </w:pPr>
            <w:r>
              <w:rPr>
                <w:rFonts w:hint="eastAsia" w:asci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12854652">
            <w:pPr>
              <w:widowControl/>
              <w:jc w:val="center"/>
              <w:rPr>
                <w:rFonts w:ascii="宋体" w:cs="宋体"/>
                <w:color w:val="000000"/>
                <w:kern w:val="0"/>
                <w:sz w:val="18"/>
                <w:szCs w:val="18"/>
              </w:rPr>
            </w:pPr>
            <w:r>
              <w:rPr>
                <w:rFonts w:hint="eastAsia" w:asci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1E360D21">
            <w:pPr>
              <w:widowControl/>
              <w:jc w:val="center"/>
              <w:rPr>
                <w:rFonts w:ascii="宋体" w:cs="宋体"/>
                <w:color w:val="000000"/>
                <w:kern w:val="0"/>
                <w:sz w:val="18"/>
                <w:szCs w:val="18"/>
              </w:rPr>
            </w:pPr>
            <w:r>
              <w:rPr>
                <w:rFonts w:hint="eastAsia" w:asci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4730B819">
            <w:pPr>
              <w:widowControl/>
              <w:jc w:val="center"/>
              <w:rPr>
                <w:rFonts w:ascii="宋体" w:cs="宋体"/>
                <w:color w:val="000000"/>
                <w:kern w:val="0"/>
                <w:sz w:val="18"/>
                <w:szCs w:val="18"/>
              </w:rPr>
            </w:pPr>
            <w:r>
              <w:rPr>
                <w:rFonts w:hint="eastAsia" w:asci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3C0CD2C4">
            <w:pPr>
              <w:widowControl/>
              <w:ind w:left="1" w:leftChars="-51" w:hanging="108" w:hangingChars="60"/>
              <w:jc w:val="center"/>
              <w:rPr>
                <w:rFonts w:ascii="宋体" w:cs="宋体"/>
                <w:color w:val="000000"/>
                <w:kern w:val="0"/>
                <w:sz w:val="18"/>
                <w:szCs w:val="18"/>
              </w:rPr>
            </w:pPr>
            <w:r>
              <w:rPr>
                <w:rFonts w:hint="eastAsia" w:asci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595AFF94">
            <w:pPr>
              <w:widowControl/>
              <w:jc w:val="center"/>
              <w:rPr>
                <w:rFonts w:ascii="宋体" w:cs="宋体"/>
                <w:color w:val="000000"/>
                <w:kern w:val="0"/>
                <w:sz w:val="18"/>
                <w:szCs w:val="18"/>
              </w:rPr>
            </w:pPr>
            <w:r>
              <w:rPr>
                <w:rFonts w:hint="eastAsia" w:asci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6CA9133C">
            <w:pPr>
              <w:widowControl/>
              <w:jc w:val="center"/>
              <w:rPr>
                <w:rFonts w:ascii="宋体" w:cs="宋体"/>
                <w:color w:val="000000"/>
                <w:kern w:val="0"/>
                <w:sz w:val="18"/>
                <w:szCs w:val="18"/>
              </w:rPr>
            </w:pPr>
            <w:r>
              <w:rPr>
                <w:rFonts w:hint="eastAsia" w:ascii="宋体" w:cs="宋体"/>
                <w:color w:val="000000"/>
                <w:kern w:val="0"/>
                <w:sz w:val="18"/>
                <w:szCs w:val="18"/>
              </w:rPr>
              <w:t>X＜10</w:t>
            </w:r>
          </w:p>
        </w:tc>
      </w:tr>
    </w:tbl>
    <w:p w14:paraId="5770056D">
      <w:pPr>
        <w:widowControl/>
        <w:spacing w:line="360" w:lineRule="auto"/>
        <w:jc w:val="left"/>
        <w:rPr>
          <w:rFonts w:ascii="宋体" w:eastAsia="宋体" w:cs="宋体"/>
          <w:kern w:val="0"/>
          <w:szCs w:val="21"/>
        </w:rPr>
      </w:pPr>
      <w:r>
        <w:rPr>
          <w:rFonts w:ascii="宋体" w:eastAsia="宋体" w:cs="宋体"/>
          <w:kern w:val="0"/>
          <w:szCs w:val="21"/>
        </w:rPr>
        <w:t>说明：</w:t>
      </w:r>
    </w:p>
    <w:p w14:paraId="4BD383A1">
      <w:pPr>
        <w:widowControl/>
        <w:spacing w:line="360" w:lineRule="auto"/>
        <w:ind w:firstLine="371" w:firstLineChars="177"/>
        <w:jc w:val="left"/>
        <w:rPr>
          <w:rFonts w:ascii="宋体" w:eastAsia="宋体" w:cs="宋体"/>
          <w:kern w:val="0"/>
          <w:szCs w:val="21"/>
        </w:rPr>
      </w:pPr>
      <w:r>
        <w:rPr>
          <w:rFonts w:ascii="宋体" w:eastAsia="宋体" w:cs="宋体"/>
          <w:kern w:val="0"/>
          <w:szCs w:val="21"/>
        </w:rPr>
        <w:t>1.大型、中型和小型企业须同时满足所列指标的下限，否则下划一档；微型企业只须满足所列指标中的一项即可。</w:t>
      </w:r>
    </w:p>
    <w:p w14:paraId="2E42369F">
      <w:pPr>
        <w:widowControl/>
        <w:spacing w:line="360" w:lineRule="auto"/>
        <w:ind w:firstLine="371" w:firstLineChars="177"/>
        <w:jc w:val="left"/>
        <w:rPr>
          <w:rFonts w:ascii="宋体" w:eastAsia="宋体" w:cs="宋体"/>
          <w:kern w:val="0"/>
          <w:szCs w:val="21"/>
        </w:rPr>
      </w:pPr>
      <w:r>
        <w:rPr>
          <w:rFonts w:ascii="宋体" w:eastAsia="宋体" w:cs="宋体"/>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34525A24">
      <w:pPr>
        <w:widowControl/>
        <w:spacing w:line="360" w:lineRule="auto"/>
        <w:ind w:firstLine="371" w:firstLineChars="177"/>
        <w:jc w:val="left"/>
        <w:rPr>
          <w:rFonts w:ascii="宋体" w:eastAsia="宋体" w:cs="宋体"/>
          <w:kern w:val="0"/>
          <w:szCs w:val="21"/>
        </w:rPr>
      </w:pPr>
      <w:r>
        <w:rPr>
          <w:rFonts w:ascii="宋体" w:eastAsia="宋体" w:cs="宋体"/>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69B2DF9A">
      <w:pPr>
        <w:spacing w:line="360" w:lineRule="auto"/>
        <w:rPr>
          <w:rFonts w:ascii="宋体" w:eastAsia="宋体"/>
          <w:szCs w:val="21"/>
        </w:rPr>
      </w:pPr>
    </w:p>
    <w:p w14:paraId="35207DF6">
      <w:pPr>
        <w:keepNext/>
        <w:keepLines/>
        <w:widowControl w:val="0"/>
        <w:jc w:val="center"/>
        <w:outlineLvl w:val="2"/>
        <w:rPr>
          <w:rFonts w:ascii="宋体"/>
          <w:b/>
          <w:bCs/>
          <w:kern w:val="0"/>
          <w:sz w:val="28"/>
          <w:szCs w:val="32"/>
        </w:rPr>
      </w:pPr>
      <w:bookmarkStart w:id="43" w:name="_Toc73613647"/>
      <w:bookmarkStart w:id="44" w:name="_Toc73610165"/>
      <w:r>
        <w:rPr>
          <w:rFonts w:hint="eastAsia" w:ascii="宋体"/>
          <w:b/>
          <w:bCs/>
          <w:kern w:val="0"/>
          <w:sz w:val="28"/>
          <w:szCs w:val="32"/>
        </w:rPr>
        <w:t>四、</w:t>
      </w:r>
      <w:r>
        <w:rPr>
          <w:rFonts w:ascii="宋体"/>
          <w:b/>
          <w:bCs/>
          <w:kern w:val="0"/>
          <w:sz w:val="28"/>
          <w:szCs w:val="32"/>
        </w:rPr>
        <w:t>财政部 民政部 中国残疾人联合会关于促进残疾人就业 政府采购政策的通知</w:t>
      </w:r>
      <w:bookmarkEnd w:id="43"/>
      <w:bookmarkEnd w:id="44"/>
      <w:r>
        <w:rPr>
          <w:rFonts w:ascii="宋体"/>
          <w:b/>
          <w:bCs/>
          <w:kern w:val="0"/>
          <w:sz w:val="28"/>
          <w:szCs w:val="32"/>
        </w:rPr>
        <w:t xml:space="preserve"> </w:t>
      </w:r>
    </w:p>
    <w:p w14:paraId="336DCD4D">
      <w:pPr>
        <w:widowControl/>
        <w:shd w:val="clear" w:color="auto" w:fill="FFFFFF"/>
        <w:spacing w:before="100" w:beforeAutospacing="1" w:after="100" w:afterAutospacing="1" w:line="360" w:lineRule="auto"/>
        <w:jc w:val="center"/>
        <w:rPr>
          <w:rFonts w:ascii="宋体" w:eastAsia="宋体" w:cs="宋体"/>
          <w:color w:val="000000"/>
          <w:kern w:val="0"/>
          <w:szCs w:val="21"/>
        </w:rPr>
      </w:pPr>
      <w:r>
        <w:rPr>
          <w:rFonts w:ascii="宋体" w:eastAsia="宋体" w:cs="宋体"/>
          <w:color w:val="000000"/>
          <w:kern w:val="0"/>
          <w:szCs w:val="21"/>
        </w:rPr>
        <w:t>财库〔2017〕141号</w:t>
      </w:r>
    </w:p>
    <w:p w14:paraId="5ADB3EE4">
      <w:pPr>
        <w:widowControl/>
        <w:spacing w:line="360" w:lineRule="auto"/>
        <w:jc w:val="left"/>
        <w:rPr>
          <w:rFonts w:ascii="宋体" w:eastAsia="宋体" w:cs="宋体"/>
          <w:kern w:val="0"/>
          <w:szCs w:val="21"/>
        </w:rPr>
      </w:pPr>
      <w:r>
        <w:rPr>
          <w:rFonts w:hint="eastAsia" w:ascii="宋体" w:eastAsia="宋体" w:cs="宋体"/>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394D23FA">
      <w:pPr>
        <w:widowControl/>
        <w:spacing w:line="360" w:lineRule="auto"/>
        <w:jc w:val="left"/>
        <w:rPr>
          <w:rFonts w:ascii="宋体" w:eastAsia="宋体" w:cs="宋体"/>
          <w:kern w:val="0"/>
          <w:szCs w:val="21"/>
        </w:rPr>
      </w:pPr>
      <w:r>
        <w:rPr>
          <w:rFonts w:hint="eastAsia" w:ascii="宋体" w:eastAsia="宋体" w:cs="宋体"/>
          <w:kern w:val="0"/>
          <w:szCs w:val="21"/>
        </w:rPr>
        <w:t>　　为了发挥政府采购促进残疾人就业的作用，进一步保障残疾人权益，依照《政府采购法》、《残疾人保障法》等法律法规及相关规定，现就促进残疾人就业政府采购政策通知如下：</w:t>
      </w:r>
    </w:p>
    <w:p w14:paraId="06B452CE">
      <w:pPr>
        <w:widowControl/>
        <w:spacing w:line="360" w:lineRule="auto"/>
        <w:jc w:val="left"/>
        <w:rPr>
          <w:rFonts w:ascii="宋体" w:eastAsia="宋体" w:cs="宋体"/>
          <w:kern w:val="0"/>
          <w:szCs w:val="21"/>
        </w:rPr>
      </w:pPr>
      <w:r>
        <w:rPr>
          <w:rFonts w:hint="eastAsia" w:ascii="宋体" w:eastAsia="宋体" w:cs="宋体"/>
          <w:kern w:val="0"/>
          <w:szCs w:val="21"/>
        </w:rPr>
        <w:t>　　一、享受政府采购支持政策的残疾人福利性单位应当同时满足以下条件：</w:t>
      </w:r>
    </w:p>
    <w:p w14:paraId="64F7BCA5">
      <w:pPr>
        <w:widowControl/>
        <w:spacing w:line="360" w:lineRule="auto"/>
        <w:jc w:val="left"/>
        <w:rPr>
          <w:rFonts w:ascii="宋体" w:eastAsia="宋体" w:cs="宋体"/>
          <w:kern w:val="0"/>
          <w:szCs w:val="21"/>
        </w:rPr>
      </w:pPr>
      <w:r>
        <w:rPr>
          <w:rFonts w:hint="eastAsia" w:ascii="宋体" w:eastAsia="宋体" w:cs="宋体"/>
          <w:kern w:val="0"/>
          <w:szCs w:val="21"/>
        </w:rPr>
        <w:t>　　（一）安置的残疾人占本单位在职职工人数的比例不低于25%（含25%），并且安置的残疾人人数不少于10人（含10人）；</w:t>
      </w:r>
    </w:p>
    <w:p w14:paraId="2BB96410">
      <w:pPr>
        <w:widowControl/>
        <w:spacing w:line="360" w:lineRule="auto"/>
        <w:jc w:val="left"/>
        <w:rPr>
          <w:rFonts w:ascii="宋体" w:eastAsia="宋体" w:cs="宋体"/>
          <w:kern w:val="0"/>
          <w:szCs w:val="21"/>
        </w:rPr>
      </w:pPr>
      <w:r>
        <w:rPr>
          <w:rFonts w:hint="eastAsia" w:ascii="宋体" w:eastAsia="宋体" w:cs="宋体"/>
          <w:kern w:val="0"/>
          <w:szCs w:val="21"/>
        </w:rPr>
        <w:t>　　（二）依法与安置的每位残疾人签订了一年以上（含一年）的劳动合同或服务协议；</w:t>
      </w:r>
    </w:p>
    <w:p w14:paraId="1F1967EE">
      <w:pPr>
        <w:widowControl/>
        <w:spacing w:line="360" w:lineRule="auto"/>
        <w:jc w:val="left"/>
        <w:rPr>
          <w:rFonts w:ascii="宋体" w:eastAsia="宋体" w:cs="宋体"/>
          <w:kern w:val="0"/>
          <w:szCs w:val="21"/>
        </w:rPr>
      </w:pPr>
      <w:r>
        <w:rPr>
          <w:rFonts w:hint="eastAsia" w:ascii="宋体" w:eastAsia="宋体" w:cs="宋体"/>
          <w:kern w:val="0"/>
          <w:szCs w:val="21"/>
        </w:rPr>
        <w:t>　　（三）为安置的每位残疾人按月足额缴纳了基本养老保险、基本医疗保险、失业保险、工伤保险和生育保险等社会保险费；</w:t>
      </w:r>
    </w:p>
    <w:p w14:paraId="00B2F693">
      <w:pPr>
        <w:widowControl/>
        <w:spacing w:line="360" w:lineRule="auto"/>
        <w:jc w:val="left"/>
        <w:rPr>
          <w:rFonts w:ascii="宋体" w:eastAsia="宋体" w:cs="宋体"/>
          <w:kern w:val="0"/>
          <w:szCs w:val="21"/>
        </w:rPr>
      </w:pPr>
      <w:r>
        <w:rPr>
          <w:rFonts w:hint="eastAsia" w:ascii="宋体" w:eastAsia="宋体" w:cs="宋体"/>
          <w:kern w:val="0"/>
          <w:szCs w:val="21"/>
        </w:rPr>
        <w:t>　　（四）通过银行等金融机构向安置的每位残疾人，按月支付了不低于单位所在区县适用的经省级人民政府批准的月最低工资标准的工资；</w:t>
      </w:r>
    </w:p>
    <w:p w14:paraId="73964198">
      <w:pPr>
        <w:widowControl/>
        <w:spacing w:line="360" w:lineRule="auto"/>
        <w:jc w:val="left"/>
        <w:rPr>
          <w:rFonts w:ascii="宋体" w:eastAsia="宋体" w:cs="宋体"/>
          <w:kern w:val="0"/>
          <w:szCs w:val="21"/>
        </w:rPr>
      </w:pPr>
      <w:r>
        <w:rPr>
          <w:rFonts w:hint="eastAsia" w:ascii="宋体" w:eastAsia="宋体" w:cs="宋体"/>
          <w:kern w:val="0"/>
          <w:szCs w:val="21"/>
        </w:rPr>
        <w:t>　　（五）提供本单位制造的货物、承担的工程或者服务（以下简称产品），或者提供其他残疾人福利性单位制造的货物（不包括使用非残疾人福利性单位注册商标的货物）。</w:t>
      </w:r>
    </w:p>
    <w:p w14:paraId="77A7E621">
      <w:pPr>
        <w:widowControl/>
        <w:spacing w:line="360" w:lineRule="auto"/>
        <w:jc w:val="left"/>
        <w:rPr>
          <w:rFonts w:ascii="宋体" w:eastAsia="宋体" w:cs="宋体"/>
          <w:kern w:val="0"/>
          <w:szCs w:val="21"/>
        </w:rPr>
      </w:pPr>
      <w:r>
        <w:rPr>
          <w:rFonts w:hint="eastAsia" w:ascii="宋体" w:eastAsia="宋体" w:cs="宋体"/>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DE144A2">
      <w:pPr>
        <w:widowControl/>
        <w:spacing w:line="360" w:lineRule="auto"/>
        <w:jc w:val="left"/>
        <w:rPr>
          <w:rFonts w:ascii="宋体" w:eastAsia="宋体" w:cs="宋体"/>
          <w:kern w:val="0"/>
          <w:szCs w:val="21"/>
        </w:rPr>
      </w:pPr>
      <w:r>
        <w:rPr>
          <w:rFonts w:hint="eastAsia" w:ascii="宋体" w:eastAsia="宋体" w:cs="宋体"/>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1F7C447A">
      <w:pPr>
        <w:widowControl/>
        <w:spacing w:line="360" w:lineRule="auto"/>
        <w:jc w:val="left"/>
        <w:rPr>
          <w:rFonts w:ascii="宋体" w:eastAsia="宋体" w:cs="宋体"/>
          <w:kern w:val="0"/>
          <w:szCs w:val="21"/>
        </w:rPr>
      </w:pPr>
      <w:r>
        <w:rPr>
          <w:rFonts w:hint="eastAsia" w:ascii="宋体" w:eastAsia="宋体" w:cs="宋体"/>
          <w:kern w:val="0"/>
          <w:szCs w:val="21"/>
        </w:rPr>
        <w:t>　　中标、成交供应商为残疾人福利性单位的，采购人或者其委托的采购代理机构应当随中标、成交结果同时公告其《残疾人福利性单位声明函》，接受社会监督。</w:t>
      </w:r>
    </w:p>
    <w:p w14:paraId="5DBEF36F">
      <w:pPr>
        <w:widowControl/>
        <w:spacing w:line="360" w:lineRule="auto"/>
        <w:jc w:val="left"/>
        <w:rPr>
          <w:rFonts w:ascii="宋体" w:eastAsia="宋体" w:cs="宋体"/>
          <w:kern w:val="0"/>
          <w:szCs w:val="21"/>
        </w:rPr>
      </w:pPr>
      <w:r>
        <w:rPr>
          <w:rFonts w:hint="eastAsia" w:ascii="宋体" w:eastAsia="宋体" w:cs="宋体"/>
          <w:kern w:val="0"/>
          <w:szCs w:val="21"/>
        </w:rPr>
        <w:t>　　供应商提供的《残疾人福利性单位声明函》与事实不符的，依照《政府采购法》第七十七条第一款的规定追究法律责任。</w:t>
      </w:r>
    </w:p>
    <w:p w14:paraId="5CBF4500">
      <w:pPr>
        <w:widowControl/>
        <w:spacing w:line="360" w:lineRule="auto"/>
        <w:jc w:val="left"/>
        <w:rPr>
          <w:rFonts w:ascii="宋体" w:eastAsia="宋体" w:cs="宋体"/>
          <w:kern w:val="0"/>
          <w:szCs w:val="21"/>
        </w:rPr>
      </w:pPr>
      <w:r>
        <w:rPr>
          <w:rFonts w:hint="eastAsia" w:ascii="宋体" w:eastAsia="宋体" w:cs="宋体"/>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1CAE19B5">
      <w:pPr>
        <w:widowControl/>
        <w:spacing w:line="360" w:lineRule="auto"/>
        <w:jc w:val="left"/>
        <w:rPr>
          <w:rFonts w:ascii="宋体" w:eastAsia="宋体" w:cs="宋体"/>
          <w:kern w:val="0"/>
          <w:szCs w:val="21"/>
        </w:rPr>
      </w:pPr>
      <w:r>
        <w:rPr>
          <w:rFonts w:hint="eastAsia" w:ascii="宋体" w:eastAsia="宋体" w:cs="宋体"/>
          <w:kern w:val="0"/>
          <w:szCs w:val="21"/>
        </w:rPr>
        <w:t>　　四、采购人采购公开招标数额标准以上的货物或者服务，因落实促进残疾人就业政策的需要，依法履行有关报批程序后，可采用公开招标以外的采购方式。</w:t>
      </w:r>
    </w:p>
    <w:p w14:paraId="54FAA559">
      <w:pPr>
        <w:widowControl/>
        <w:spacing w:line="360" w:lineRule="auto"/>
        <w:jc w:val="left"/>
        <w:rPr>
          <w:rFonts w:ascii="宋体" w:eastAsia="宋体" w:cs="宋体"/>
          <w:kern w:val="0"/>
          <w:szCs w:val="21"/>
        </w:rPr>
      </w:pPr>
      <w:r>
        <w:rPr>
          <w:rFonts w:hint="eastAsia" w:ascii="宋体" w:eastAsia="宋体" w:cs="宋体"/>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4D5B0588">
      <w:pPr>
        <w:widowControl/>
        <w:spacing w:line="360" w:lineRule="auto"/>
        <w:jc w:val="left"/>
        <w:rPr>
          <w:rFonts w:ascii="宋体" w:eastAsia="宋体" w:cs="宋体"/>
          <w:kern w:val="0"/>
          <w:szCs w:val="21"/>
        </w:rPr>
      </w:pPr>
      <w:r>
        <w:rPr>
          <w:rFonts w:hint="eastAsia" w:ascii="宋体" w:eastAsia="宋体" w:cs="宋体"/>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65961623">
      <w:pPr>
        <w:widowControl/>
        <w:spacing w:line="360" w:lineRule="auto"/>
        <w:jc w:val="left"/>
        <w:rPr>
          <w:rFonts w:ascii="宋体" w:eastAsia="宋体" w:cs="宋体"/>
          <w:kern w:val="0"/>
          <w:szCs w:val="21"/>
        </w:rPr>
      </w:pPr>
      <w:r>
        <w:rPr>
          <w:rFonts w:hint="eastAsia" w:ascii="宋体" w:eastAsia="宋体" w:cs="宋体"/>
          <w:kern w:val="0"/>
          <w:szCs w:val="21"/>
        </w:rPr>
        <w:t>　　七、本通知自2017年10月1日起执行。</w:t>
      </w:r>
    </w:p>
    <w:p w14:paraId="4E8786E4">
      <w:pPr>
        <w:widowControl/>
        <w:spacing w:line="360" w:lineRule="auto"/>
        <w:jc w:val="left"/>
        <w:rPr>
          <w:rFonts w:ascii="宋体" w:eastAsia="宋体" w:cs="宋体"/>
          <w:kern w:val="0"/>
          <w:szCs w:val="21"/>
        </w:rPr>
      </w:pPr>
      <w:r>
        <w:rPr>
          <w:rFonts w:ascii="宋体" w:eastAsia="宋体" w:cs="宋体"/>
          <w:kern w:val="0"/>
          <w:szCs w:val="21"/>
        </w:rPr>
        <w:t>　　</w:t>
      </w:r>
    </w:p>
    <w:p w14:paraId="222FD6D7">
      <w:pPr>
        <w:widowControl/>
        <w:spacing w:line="360" w:lineRule="auto"/>
        <w:jc w:val="right"/>
        <w:rPr>
          <w:rFonts w:ascii="宋体" w:eastAsia="宋体" w:cs="宋体"/>
          <w:kern w:val="0"/>
          <w:szCs w:val="21"/>
        </w:rPr>
      </w:pPr>
      <w:r>
        <w:rPr>
          <w:rFonts w:hint="eastAsia" w:ascii="宋体" w:eastAsia="宋体" w:cs="宋体"/>
          <w:kern w:val="0"/>
          <w:szCs w:val="21"/>
        </w:rPr>
        <w:t>财政部 民政部 中国残疾人联合会</w:t>
      </w:r>
    </w:p>
    <w:p w14:paraId="4BB12B0D">
      <w:pPr>
        <w:widowControl/>
        <w:spacing w:line="360" w:lineRule="auto"/>
        <w:jc w:val="right"/>
        <w:rPr>
          <w:rFonts w:ascii="宋体" w:eastAsia="宋体" w:cs="宋体"/>
          <w:kern w:val="0"/>
          <w:szCs w:val="21"/>
        </w:rPr>
      </w:pPr>
    </w:p>
    <w:p w14:paraId="480D8EF0">
      <w:pPr>
        <w:widowControl/>
        <w:spacing w:line="360" w:lineRule="auto"/>
        <w:jc w:val="right"/>
        <w:rPr>
          <w:rFonts w:ascii="宋体" w:eastAsia="宋体" w:cs="宋体"/>
          <w:kern w:val="0"/>
          <w:szCs w:val="21"/>
        </w:rPr>
      </w:pPr>
      <w:r>
        <w:rPr>
          <w:rFonts w:hint="eastAsia" w:ascii="宋体" w:eastAsia="宋体" w:cs="宋体"/>
          <w:kern w:val="0"/>
          <w:szCs w:val="21"/>
        </w:rPr>
        <w:t>  2017年8月22日</w:t>
      </w:r>
    </w:p>
    <w:p w14:paraId="7E50B56B">
      <w:pPr>
        <w:tabs>
          <w:tab w:val="left" w:pos="1875"/>
        </w:tabs>
        <w:rPr>
          <w:rFonts w:ascii="Calibri" w:hAnsi="Calibri"/>
          <w:szCs w:val="22"/>
        </w:rPr>
      </w:pPr>
    </w:p>
    <w:p w14:paraId="5CABB20A">
      <w:pPr>
        <w:rPr>
          <w:rFonts w:ascii="Calibri" w:hAnsi="Calibri"/>
          <w:szCs w:val="22"/>
        </w:rPr>
      </w:pPr>
    </w:p>
    <w:p w14:paraId="2FDAEF22">
      <w:pPr>
        <w:keepNext/>
        <w:keepLines/>
        <w:widowControl w:val="0"/>
        <w:jc w:val="center"/>
        <w:outlineLvl w:val="2"/>
        <w:rPr>
          <w:rFonts w:ascii="宋体"/>
          <w:b/>
          <w:bCs/>
          <w:kern w:val="0"/>
          <w:sz w:val="28"/>
          <w:szCs w:val="32"/>
        </w:rPr>
      </w:pPr>
      <w:r>
        <w:rPr>
          <w:rFonts w:hint="eastAsia" w:ascii="宋体"/>
          <w:b/>
          <w:bCs/>
          <w:kern w:val="0"/>
          <w:sz w:val="28"/>
          <w:szCs w:val="32"/>
        </w:rPr>
        <w:t>五、财政部 司法部关于政府采购支持监狱企业发展有关问题的通知</w:t>
      </w:r>
      <w:r>
        <w:rPr>
          <w:rFonts w:ascii="宋体"/>
          <w:b/>
          <w:bCs/>
          <w:kern w:val="0"/>
          <w:sz w:val="28"/>
          <w:szCs w:val="32"/>
        </w:rPr>
        <w:t xml:space="preserve"> </w:t>
      </w:r>
    </w:p>
    <w:p w14:paraId="24B93423">
      <w:pPr>
        <w:widowControl/>
        <w:spacing w:line="360" w:lineRule="auto"/>
        <w:jc w:val="center"/>
        <w:rPr>
          <w:rFonts w:ascii="宋体" w:eastAsia="宋体" w:cs="宋体"/>
          <w:kern w:val="0"/>
          <w:szCs w:val="21"/>
        </w:rPr>
      </w:pPr>
    </w:p>
    <w:p w14:paraId="4A779743">
      <w:pPr>
        <w:widowControl/>
        <w:spacing w:line="360" w:lineRule="auto"/>
        <w:jc w:val="center"/>
        <w:rPr>
          <w:rFonts w:ascii="宋体" w:eastAsia="宋体" w:cs="宋体"/>
          <w:kern w:val="0"/>
          <w:szCs w:val="21"/>
        </w:rPr>
      </w:pPr>
      <w:r>
        <w:rPr>
          <w:rFonts w:hint="eastAsia" w:ascii="宋体" w:eastAsia="宋体" w:cs="宋体"/>
          <w:kern w:val="0"/>
          <w:szCs w:val="21"/>
        </w:rPr>
        <w:t>财库〔2014〕68号</w:t>
      </w:r>
    </w:p>
    <w:p w14:paraId="7F2F07BD">
      <w:pPr>
        <w:widowControl/>
        <w:spacing w:line="360" w:lineRule="auto"/>
        <w:jc w:val="left"/>
        <w:rPr>
          <w:rFonts w:ascii="宋体" w:eastAsia="宋体" w:cs="宋体"/>
          <w:kern w:val="0"/>
          <w:szCs w:val="21"/>
        </w:rPr>
      </w:pPr>
    </w:p>
    <w:p w14:paraId="3200B0DA">
      <w:pPr>
        <w:widowControl/>
        <w:spacing w:line="360" w:lineRule="auto"/>
        <w:ind w:firstLine="424" w:firstLineChars="202"/>
        <w:jc w:val="left"/>
        <w:rPr>
          <w:rFonts w:ascii="宋体" w:eastAsia="宋体" w:cs="宋体"/>
          <w:kern w:val="0"/>
          <w:szCs w:val="21"/>
        </w:rPr>
      </w:pPr>
      <w:r>
        <w:rPr>
          <w:rFonts w:hint="eastAsia" w:ascii="宋体" w:eastAsia="宋体" w:cs="宋体"/>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2795922D">
      <w:pPr>
        <w:widowControl/>
        <w:spacing w:line="360" w:lineRule="auto"/>
        <w:ind w:firstLine="424" w:firstLineChars="202"/>
        <w:jc w:val="left"/>
        <w:rPr>
          <w:rFonts w:ascii="宋体" w:eastAsia="宋体" w:cs="宋体"/>
          <w:kern w:val="0"/>
          <w:szCs w:val="21"/>
        </w:rPr>
      </w:pPr>
      <w:r>
        <w:rPr>
          <w:rFonts w:hint="eastAsia" w:ascii="宋体" w:eastAsia="宋体" w:cs="宋体"/>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ascii="宋体" w:eastAsia="宋体" w:cs="宋体"/>
          <w:kern w:val="0"/>
          <w:szCs w:val="21"/>
        </w:rPr>
        <w:t>[2003]7</w:t>
      </w:r>
      <w:r>
        <w:rPr>
          <w:rFonts w:hint="eastAsia" w:ascii="宋体" w:eastAsia="宋体" w:cs="宋体"/>
          <w:kern w:val="0"/>
          <w:szCs w:val="21"/>
        </w:rPr>
        <w:t>号）文件精神，发挥政府采购支持监狱企业发展的作用，现就有关事项通知如下：</w:t>
      </w:r>
    </w:p>
    <w:p w14:paraId="30FC0D68">
      <w:pPr>
        <w:widowControl/>
        <w:spacing w:line="360" w:lineRule="auto"/>
        <w:ind w:firstLine="424" w:firstLineChars="202"/>
        <w:jc w:val="left"/>
        <w:rPr>
          <w:rFonts w:ascii="宋体" w:eastAsia="宋体" w:cs="宋体"/>
          <w:kern w:val="0"/>
          <w:szCs w:val="21"/>
        </w:rPr>
      </w:pPr>
      <w:r>
        <w:rPr>
          <w:rFonts w:hint="eastAsia" w:ascii="宋体" w:eastAsia="宋体" w:cs="宋体"/>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4DC519C6">
      <w:pPr>
        <w:widowControl/>
        <w:spacing w:line="360" w:lineRule="auto"/>
        <w:ind w:firstLine="424" w:firstLineChars="202"/>
        <w:jc w:val="left"/>
        <w:rPr>
          <w:rFonts w:ascii="宋体" w:eastAsia="宋体" w:cs="宋体"/>
          <w:kern w:val="0"/>
          <w:szCs w:val="21"/>
        </w:rPr>
      </w:pPr>
      <w:r>
        <w:rPr>
          <w:rFonts w:hint="eastAsia" w:ascii="宋体" w:eastAsia="宋体" w:cs="宋体"/>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29113EA1">
      <w:pPr>
        <w:widowControl/>
        <w:spacing w:line="360" w:lineRule="auto"/>
        <w:ind w:firstLine="424" w:firstLineChars="202"/>
        <w:jc w:val="left"/>
        <w:rPr>
          <w:rFonts w:ascii="宋体" w:eastAsia="宋体" w:cs="宋体"/>
          <w:kern w:val="0"/>
          <w:szCs w:val="21"/>
        </w:rPr>
      </w:pPr>
      <w:r>
        <w:rPr>
          <w:rFonts w:hint="eastAsia" w:ascii="宋体" w:eastAsia="宋体" w:cs="宋体"/>
          <w:kern w:val="0"/>
          <w:szCs w:val="21"/>
        </w:rPr>
        <w:t>三、各地区、各部门要积极通过预留采购份额支持监狱企业。有制服采购项目的部门，应加强对政府采购预算和计划编制工作的统筹，预留本部门制服采购项目预算总额的</w:t>
      </w:r>
      <w:r>
        <w:rPr>
          <w:rFonts w:ascii="宋体" w:eastAsia="宋体" w:cs="宋体"/>
          <w:kern w:val="0"/>
          <w:szCs w:val="21"/>
        </w:rPr>
        <w:t>30%</w:t>
      </w:r>
      <w:r>
        <w:rPr>
          <w:rFonts w:hint="eastAsia" w:ascii="宋体" w:eastAsia="宋体" w:cs="宋体"/>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03BC7127">
      <w:pPr>
        <w:widowControl/>
        <w:spacing w:line="360" w:lineRule="auto"/>
        <w:ind w:firstLine="424" w:firstLineChars="202"/>
        <w:jc w:val="left"/>
        <w:rPr>
          <w:rFonts w:ascii="宋体" w:eastAsia="宋体" w:cs="宋体"/>
          <w:kern w:val="0"/>
          <w:szCs w:val="21"/>
        </w:rPr>
      </w:pPr>
      <w:r>
        <w:rPr>
          <w:rFonts w:hint="eastAsia" w:ascii="宋体" w:eastAsia="宋体" w:cs="宋体"/>
          <w:kern w:val="0"/>
          <w:szCs w:val="21"/>
        </w:rPr>
        <w:t>四、各地区可以结合本地区实际，对监狱企业生产的办公用品、家具用具、车辆维修和提供的保养服务、消防设备等，提出预留份额等政府采购支持措施，加大对监狱企业产品的采购力度。</w:t>
      </w:r>
    </w:p>
    <w:p w14:paraId="0E9F1FE7">
      <w:pPr>
        <w:widowControl/>
        <w:spacing w:line="360" w:lineRule="auto"/>
        <w:ind w:firstLine="424" w:firstLineChars="202"/>
        <w:jc w:val="left"/>
        <w:rPr>
          <w:rFonts w:ascii="宋体" w:eastAsia="宋体" w:cs="宋体"/>
          <w:kern w:val="0"/>
          <w:szCs w:val="21"/>
        </w:rPr>
      </w:pPr>
      <w:r>
        <w:rPr>
          <w:rFonts w:hint="eastAsia" w:ascii="宋体" w:eastAsia="宋体" w:cs="宋体"/>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3E510E26">
      <w:pPr>
        <w:widowControl/>
        <w:spacing w:line="360" w:lineRule="auto"/>
        <w:jc w:val="left"/>
        <w:rPr>
          <w:rFonts w:ascii="宋体" w:eastAsia="宋体" w:cs="宋体"/>
          <w:kern w:val="0"/>
          <w:szCs w:val="21"/>
        </w:rPr>
      </w:pPr>
    </w:p>
    <w:p w14:paraId="4F965F08">
      <w:pPr>
        <w:widowControl/>
        <w:spacing w:line="360" w:lineRule="auto"/>
        <w:jc w:val="right"/>
        <w:rPr>
          <w:rFonts w:ascii="宋体" w:eastAsia="宋体" w:cs="宋体"/>
          <w:kern w:val="0"/>
          <w:szCs w:val="21"/>
        </w:rPr>
      </w:pPr>
      <w:r>
        <w:rPr>
          <w:rFonts w:hint="eastAsia" w:ascii="宋体" w:eastAsia="宋体" w:cs="宋体"/>
          <w:kern w:val="0"/>
          <w:szCs w:val="21"/>
        </w:rPr>
        <w:t>中华人民共和国财政部</w:t>
      </w:r>
    </w:p>
    <w:p w14:paraId="1D60F4D8">
      <w:pPr>
        <w:widowControl/>
        <w:spacing w:line="360" w:lineRule="auto"/>
        <w:jc w:val="right"/>
        <w:rPr>
          <w:rFonts w:ascii="宋体" w:eastAsia="宋体" w:cs="宋体"/>
          <w:kern w:val="0"/>
          <w:szCs w:val="21"/>
        </w:rPr>
      </w:pPr>
      <w:r>
        <w:rPr>
          <w:rFonts w:hint="eastAsia" w:ascii="宋体" w:eastAsia="宋体" w:cs="宋体"/>
          <w:kern w:val="0"/>
          <w:szCs w:val="21"/>
        </w:rPr>
        <w:t>中华人民共和国司法部</w:t>
      </w:r>
    </w:p>
    <w:p w14:paraId="3038CA5F">
      <w:pPr>
        <w:widowControl/>
        <w:spacing w:line="360" w:lineRule="auto"/>
        <w:jc w:val="right"/>
        <w:rPr>
          <w:rFonts w:ascii="宋体" w:eastAsia="宋体" w:cs="宋体"/>
          <w:kern w:val="0"/>
          <w:szCs w:val="21"/>
        </w:rPr>
      </w:pPr>
      <w:r>
        <w:rPr>
          <w:rFonts w:hint="eastAsia" w:ascii="宋体" w:eastAsia="宋体" w:cs="宋体"/>
          <w:kern w:val="0"/>
          <w:szCs w:val="21"/>
        </w:rPr>
        <w:t>2014年6月10日</w:t>
      </w:r>
    </w:p>
    <w:p w14:paraId="6617BF8D">
      <w:pPr>
        <w:pStyle w:val="3"/>
        <w:spacing w:before="0" w:after="0"/>
        <w:jc w:val="center"/>
        <w:rPr>
          <w:rFonts w:ascii="宋体" w:eastAsia="宋体" w:cs="宋体"/>
          <w:kern w:val="0"/>
          <w:szCs w:val="21"/>
        </w:rPr>
      </w:pPr>
    </w:p>
    <w:p w14:paraId="3743D896">
      <w:pPr>
        <w:widowControl/>
        <w:jc w:val="left"/>
        <w:rPr>
          <w:rFonts w:ascii="宋体"/>
          <w:b/>
          <w:bCs/>
          <w:kern w:val="0"/>
          <w:sz w:val="28"/>
          <w:szCs w:val="28"/>
        </w:rPr>
      </w:pPr>
      <w:r>
        <w:rPr>
          <w:rFonts w:ascii="宋体"/>
          <w:b/>
          <w:bCs/>
          <w:kern w:val="0"/>
          <w:sz w:val="28"/>
          <w:szCs w:val="28"/>
        </w:rPr>
        <w:br w:type="page"/>
      </w:r>
    </w:p>
    <w:p w14:paraId="18D7E244">
      <w:pPr>
        <w:pStyle w:val="5"/>
        <w:spacing w:before="120" w:beforeLines="50" w:after="120" w:afterLines="50" w:line="360" w:lineRule="auto"/>
        <w:ind w:left="562"/>
        <w:rPr>
          <w:rFonts w:ascii="宋体" w:eastAsia="宋体"/>
          <w:sz w:val="32"/>
          <w:szCs w:val="32"/>
        </w:rPr>
      </w:pPr>
      <w:r>
        <w:rPr>
          <w:rFonts w:hint="eastAsia" w:ascii="宋体" w:eastAsia="宋体"/>
          <w:sz w:val="32"/>
          <w:szCs w:val="32"/>
        </w:rPr>
        <w:t>第二册  通用条款（公开招标）</w:t>
      </w:r>
    </w:p>
    <w:p w14:paraId="141F0748">
      <w:pPr>
        <w:pStyle w:val="5"/>
        <w:widowControl/>
        <w:numPr>
          <w:ilvl w:val="0"/>
          <w:numId w:val="14"/>
        </w:numPr>
        <w:spacing w:before="120" w:beforeLines="50" w:after="120" w:afterLines="50" w:line="360" w:lineRule="auto"/>
        <w:ind w:left="562" w:hanging="562"/>
        <w:rPr>
          <w:rFonts w:ascii="宋体" w:eastAsia="宋体"/>
          <w:sz w:val="28"/>
          <w:szCs w:val="28"/>
        </w:rPr>
      </w:pPr>
      <w:bookmarkStart w:id="45" w:name="_Hlk72399513"/>
      <w:r>
        <w:rPr>
          <w:rFonts w:hint="eastAsia" w:ascii="宋体" w:eastAsia="宋体"/>
          <w:sz w:val="28"/>
          <w:szCs w:val="28"/>
        </w:rPr>
        <w:t>总则</w:t>
      </w:r>
    </w:p>
    <w:bookmarkEnd w:id="45"/>
    <w:p w14:paraId="2F25926C">
      <w:pPr>
        <w:spacing w:line="360" w:lineRule="auto"/>
        <w:outlineLvl w:val="1"/>
        <w:rPr>
          <w:rFonts w:ascii="宋体" w:eastAsia="宋体"/>
          <w:b/>
          <w:bCs/>
          <w:szCs w:val="21"/>
        </w:rPr>
      </w:pPr>
      <w:r>
        <w:rPr>
          <w:rFonts w:hint="eastAsia" w:ascii="宋体" w:eastAsia="宋体"/>
          <w:b/>
          <w:bCs/>
          <w:szCs w:val="21"/>
        </w:rPr>
        <w:t>1. 通用条款说明</w:t>
      </w:r>
    </w:p>
    <w:p w14:paraId="1FC4F204">
      <w:pPr>
        <w:spacing w:line="360" w:lineRule="auto"/>
        <w:ind w:firstLine="411" w:firstLineChars="196"/>
        <w:rPr>
          <w:rFonts w:ascii="宋体" w:eastAsia="宋体"/>
          <w:szCs w:val="21"/>
        </w:rPr>
      </w:pPr>
      <w:r>
        <w:rPr>
          <w:rFonts w:hint="eastAsia" w:ascii="宋体" w:eastAsia="宋体"/>
          <w:szCs w:val="21"/>
        </w:rPr>
        <w:t>1.1采购代理机构发出招标文件通用条款版本，列出深圳市政府采购项目进行招标采购所适用的通用条款内容。</w:t>
      </w:r>
      <w:bookmarkStart w:id="46" w:name="_Hlk72399729"/>
      <w:r>
        <w:rPr>
          <w:rFonts w:hint="eastAsia" w:ascii="宋体" w:eastAsia="宋体"/>
          <w:szCs w:val="21"/>
        </w:rPr>
        <w:t>如有需要，采购代理机构可以对通用条款的内容进行补充。</w:t>
      </w:r>
      <w:bookmarkEnd w:id="46"/>
    </w:p>
    <w:p w14:paraId="2F410622">
      <w:pPr>
        <w:spacing w:line="360" w:lineRule="auto"/>
        <w:ind w:firstLine="411" w:firstLineChars="196"/>
        <w:rPr>
          <w:rFonts w:ascii="宋体" w:eastAsia="宋体"/>
          <w:szCs w:val="21"/>
        </w:rPr>
      </w:pPr>
      <w:r>
        <w:rPr>
          <w:rFonts w:hint="eastAsia" w:ascii="宋体" w:eastAsia="宋体"/>
          <w:szCs w:val="21"/>
        </w:rPr>
        <w:t>1.2招标文件分为第一册“专用条款”和第二册“通用条款”。</w:t>
      </w:r>
    </w:p>
    <w:p w14:paraId="2D39C907">
      <w:pPr>
        <w:spacing w:line="360" w:lineRule="auto"/>
        <w:ind w:firstLine="411" w:firstLineChars="196"/>
        <w:rPr>
          <w:rFonts w:ascii="宋体" w:eastAsia="宋体"/>
          <w:szCs w:val="21"/>
        </w:rPr>
      </w:pPr>
      <w:r>
        <w:rPr>
          <w:rFonts w:hint="eastAsia" w:ascii="宋体" w:eastAsia="宋体"/>
          <w:szCs w:val="21"/>
        </w:rPr>
        <w:t>1.3“专用条款”是对本次采购项目的具体要求，包含招标公告、对通用条款的补充内容及其他关键信息、用户需求书、投标文件格式及附件、合同条款及格式等内容。</w:t>
      </w:r>
    </w:p>
    <w:p w14:paraId="2995352F">
      <w:pPr>
        <w:spacing w:line="360" w:lineRule="auto"/>
        <w:ind w:firstLine="411" w:firstLineChars="196"/>
        <w:rPr>
          <w:rFonts w:ascii="宋体" w:eastAsia="宋体"/>
          <w:szCs w:val="21"/>
        </w:rPr>
      </w:pPr>
      <w:r>
        <w:rPr>
          <w:rFonts w:hint="eastAsia" w:ascii="宋体" w:eastAsia="宋体"/>
          <w:szCs w:val="21"/>
        </w:rPr>
        <w:t>1.4“通用条款”是适用于政府采购公开招标项目的基础性条款，具有普遍性和通用性。</w:t>
      </w:r>
    </w:p>
    <w:p w14:paraId="11525C79">
      <w:pPr>
        <w:spacing w:line="360" w:lineRule="auto"/>
        <w:ind w:firstLine="411" w:firstLineChars="196"/>
        <w:rPr>
          <w:rFonts w:ascii="宋体" w:eastAsia="宋体"/>
          <w:szCs w:val="21"/>
        </w:rPr>
      </w:pPr>
      <w:r>
        <w:rPr>
          <w:rFonts w:hint="eastAsia" w:ascii="宋体" w:eastAsia="宋体"/>
          <w:szCs w:val="21"/>
        </w:rPr>
        <w:t>1.5 “专用条款”和“通用条款”表述不一致或有冲突时，以“专用条款”为准。</w:t>
      </w:r>
    </w:p>
    <w:p w14:paraId="083990DD">
      <w:pPr>
        <w:spacing w:line="360" w:lineRule="auto"/>
        <w:outlineLvl w:val="1"/>
        <w:rPr>
          <w:rFonts w:ascii="宋体" w:eastAsia="宋体"/>
          <w:b/>
          <w:bCs/>
          <w:szCs w:val="21"/>
        </w:rPr>
      </w:pPr>
      <w:r>
        <w:rPr>
          <w:rFonts w:hint="eastAsia" w:ascii="宋体" w:eastAsia="宋体"/>
          <w:b/>
          <w:bCs/>
          <w:szCs w:val="21"/>
        </w:rPr>
        <w:t>2</w:t>
      </w:r>
      <w:r>
        <w:rPr>
          <w:rFonts w:ascii="宋体" w:eastAsia="宋体"/>
          <w:b/>
          <w:bCs/>
          <w:szCs w:val="21"/>
        </w:rPr>
        <w:t>．</w:t>
      </w:r>
      <w:r>
        <w:rPr>
          <w:rFonts w:hint="eastAsia" w:ascii="宋体" w:eastAsia="宋体"/>
          <w:b/>
          <w:bCs/>
          <w:szCs w:val="21"/>
        </w:rPr>
        <w:t>招标说明</w:t>
      </w:r>
    </w:p>
    <w:p w14:paraId="4E4624DD">
      <w:pPr>
        <w:spacing w:line="360" w:lineRule="auto"/>
        <w:ind w:firstLine="411" w:firstLineChars="196"/>
        <w:rPr>
          <w:rFonts w:ascii="宋体" w:eastAsia="宋体"/>
          <w:szCs w:val="21"/>
        </w:rPr>
      </w:pPr>
      <w:r>
        <w:rPr>
          <w:rFonts w:hint="eastAsia" w:ascii="宋体" w:eastAsia="宋体"/>
          <w:szCs w:val="21"/>
        </w:rPr>
        <w:t>本项目按照《深圳经济特区政府采购条例》、《深圳经济特区政府采购条例实施细则》及政府采购其他法律法规，通过公开招标方式确定中标供应商。</w:t>
      </w:r>
    </w:p>
    <w:p w14:paraId="5CAD621A">
      <w:pPr>
        <w:spacing w:line="360" w:lineRule="auto"/>
        <w:outlineLvl w:val="1"/>
        <w:rPr>
          <w:rFonts w:ascii="宋体" w:eastAsia="宋体"/>
          <w:b/>
          <w:bCs/>
          <w:szCs w:val="21"/>
        </w:rPr>
      </w:pPr>
      <w:r>
        <w:rPr>
          <w:rFonts w:hint="eastAsia" w:ascii="宋体" w:eastAsia="宋体"/>
          <w:b/>
          <w:bCs/>
          <w:szCs w:val="21"/>
        </w:rPr>
        <w:t>3．定义</w:t>
      </w:r>
    </w:p>
    <w:p w14:paraId="28C6B103">
      <w:pPr>
        <w:spacing w:line="360" w:lineRule="auto"/>
        <w:ind w:firstLine="420" w:firstLineChars="200"/>
        <w:rPr>
          <w:rFonts w:ascii="宋体" w:eastAsia="宋体"/>
          <w:szCs w:val="21"/>
        </w:rPr>
      </w:pPr>
      <w:r>
        <w:rPr>
          <w:rFonts w:ascii="宋体" w:eastAsia="宋体"/>
          <w:szCs w:val="21"/>
        </w:rPr>
        <w:t>招标文件中下列术语应解释为：</w:t>
      </w:r>
    </w:p>
    <w:p w14:paraId="264D221C">
      <w:pPr>
        <w:spacing w:line="360" w:lineRule="auto"/>
        <w:ind w:firstLine="411" w:firstLineChars="196"/>
        <w:rPr>
          <w:rFonts w:ascii="宋体" w:eastAsia="宋体"/>
          <w:szCs w:val="21"/>
        </w:rPr>
      </w:pPr>
      <w:r>
        <w:rPr>
          <w:rFonts w:hint="eastAsia" w:ascii="宋体" w:eastAsia="宋体"/>
          <w:szCs w:val="21"/>
        </w:rPr>
        <w:t>3.</w:t>
      </w:r>
      <w:r>
        <w:rPr>
          <w:rFonts w:ascii="宋体" w:eastAsia="宋体"/>
          <w:szCs w:val="21"/>
        </w:rPr>
        <w:t>1</w:t>
      </w:r>
      <w:r>
        <w:rPr>
          <w:rFonts w:hint="eastAsia" w:ascii="宋体" w:eastAsia="宋体"/>
          <w:szCs w:val="21"/>
        </w:rPr>
        <w:t>“采购人”：指利用财政性资金依法进行政府采购的国家机关、事业单位、团体组织；</w:t>
      </w:r>
    </w:p>
    <w:p w14:paraId="46FA903A">
      <w:pPr>
        <w:spacing w:line="360" w:lineRule="auto"/>
        <w:ind w:firstLine="411" w:firstLineChars="196"/>
        <w:rPr>
          <w:rFonts w:ascii="宋体" w:eastAsia="宋体"/>
          <w:szCs w:val="21"/>
        </w:rPr>
      </w:pPr>
      <w:r>
        <w:rPr>
          <w:rFonts w:hint="eastAsia" w:ascii="宋体" w:eastAsia="宋体"/>
          <w:szCs w:val="21"/>
        </w:rPr>
        <w:t>3.2 “政府集中采购机构”</w:t>
      </w:r>
      <w:r>
        <w:rPr>
          <w:rFonts w:hint="eastAsia" w:ascii="宋体" w:eastAsia="宋体" w:cs="Arial"/>
          <w:szCs w:val="21"/>
          <w:shd w:val="clear" w:color="auto" w:fill="FFFFFF"/>
        </w:rPr>
        <w:t>是指市政府设立的，对纳入集中采购目录内的采购项目组织实施采购，并对政府采购活动提供服务的专门机构；</w:t>
      </w:r>
      <w:r>
        <w:rPr>
          <w:rFonts w:hint="eastAsia" w:ascii="宋体" w:eastAsia="宋体"/>
          <w:szCs w:val="21"/>
        </w:rPr>
        <w:t>本文件所述的“政府集中采购机构”</w:t>
      </w:r>
      <w:r>
        <w:rPr>
          <w:rFonts w:ascii="宋体" w:eastAsia="宋体"/>
          <w:szCs w:val="21"/>
        </w:rPr>
        <w:t>指</w:t>
      </w:r>
      <w:r>
        <w:rPr>
          <w:rFonts w:hint="eastAsia" w:ascii="宋体" w:eastAsia="宋体"/>
          <w:szCs w:val="21"/>
        </w:rPr>
        <w:t>深圳公共资源交易中心；</w:t>
      </w:r>
    </w:p>
    <w:p w14:paraId="54D24266">
      <w:pPr>
        <w:spacing w:line="360" w:lineRule="auto"/>
        <w:ind w:firstLine="411" w:firstLineChars="196"/>
        <w:rPr>
          <w:rFonts w:ascii="宋体" w:eastAsia="宋体"/>
          <w:szCs w:val="21"/>
        </w:rPr>
      </w:pPr>
      <w:r>
        <w:rPr>
          <w:rFonts w:hint="eastAsia" w:ascii="宋体" w:eastAsia="宋体"/>
          <w:szCs w:val="21"/>
        </w:rPr>
        <w:t>3.3“采购代理机构”是指根据采购人委托，代理政府采购事宜的社会采购代理机构。本招标文件的招标机构特指</w:t>
      </w:r>
      <w:r>
        <w:rPr>
          <w:rFonts w:hint="eastAsia" w:ascii="宋体" w:eastAsia="宋体"/>
          <w:b/>
          <w:bCs/>
          <w:szCs w:val="21"/>
        </w:rPr>
        <w:t>深圳市中正招标有限公司；</w:t>
      </w:r>
    </w:p>
    <w:p w14:paraId="15991209">
      <w:pPr>
        <w:spacing w:line="360" w:lineRule="auto"/>
        <w:ind w:firstLine="411" w:firstLineChars="196"/>
        <w:rPr>
          <w:rFonts w:ascii="宋体" w:eastAsia="宋体"/>
          <w:szCs w:val="21"/>
        </w:rPr>
      </w:pPr>
      <w:r>
        <w:rPr>
          <w:rFonts w:hint="eastAsia" w:ascii="宋体" w:eastAsia="宋体"/>
          <w:szCs w:val="21"/>
        </w:rPr>
        <w:t>3.4“投标人”，即供应商，指参加投标竞争并愿意按照招标文件要求向采购人提供货物、工程或者服务的依法成立的法人、其他组织或者自然人；</w:t>
      </w:r>
    </w:p>
    <w:p w14:paraId="153F6295">
      <w:pPr>
        <w:spacing w:line="360" w:lineRule="auto"/>
        <w:ind w:firstLine="411" w:firstLineChars="196"/>
        <w:rPr>
          <w:rFonts w:ascii="宋体" w:eastAsia="宋体"/>
          <w:szCs w:val="21"/>
        </w:rPr>
      </w:pPr>
      <w:r>
        <w:rPr>
          <w:rFonts w:hint="eastAsia" w:ascii="宋体" w:eastAsia="宋体"/>
          <w:szCs w:val="21"/>
        </w:rPr>
        <w:t>3.5“评审委员会”是依据《深圳经济特区政府采购条例》、《深圳经济特区政府采购条例实施细则》等有关规定组建的专门负责本次招标其评审工作的临时性机构；</w:t>
      </w:r>
    </w:p>
    <w:p w14:paraId="04579B13">
      <w:pPr>
        <w:spacing w:line="360" w:lineRule="auto"/>
        <w:ind w:firstLine="411" w:firstLineChars="196"/>
        <w:rPr>
          <w:rFonts w:ascii="宋体" w:eastAsia="宋体"/>
          <w:szCs w:val="21"/>
        </w:rPr>
      </w:pPr>
      <w:r>
        <w:rPr>
          <w:rFonts w:hint="eastAsia" w:ascii="宋体" w:eastAsia="宋体"/>
          <w:szCs w:val="21"/>
        </w:rPr>
        <w:t>3.6“日期”</w:t>
      </w:r>
      <w:r>
        <w:rPr>
          <w:rFonts w:ascii="宋体" w:eastAsia="宋体"/>
          <w:szCs w:val="21"/>
        </w:rPr>
        <w:t>指</w:t>
      </w:r>
      <w:r>
        <w:rPr>
          <w:rFonts w:hint="eastAsia" w:ascii="宋体" w:eastAsia="宋体"/>
          <w:szCs w:val="21"/>
        </w:rPr>
        <w:t>公历日；</w:t>
      </w:r>
    </w:p>
    <w:p w14:paraId="4A174A90">
      <w:pPr>
        <w:spacing w:line="360" w:lineRule="auto"/>
        <w:ind w:firstLine="411" w:firstLineChars="196"/>
        <w:rPr>
          <w:rFonts w:ascii="宋体" w:eastAsia="宋体"/>
          <w:szCs w:val="21"/>
        </w:rPr>
      </w:pPr>
      <w:r>
        <w:rPr>
          <w:rFonts w:hint="eastAsia" w:ascii="宋体" w:eastAsia="宋体"/>
          <w:szCs w:val="21"/>
        </w:rPr>
        <w:t>3.7“合同”指由本次招标所产生的合同或合约文件；</w:t>
      </w:r>
    </w:p>
    <w:p w14:paraId="37577577">
      <w:pPr>
        <w:spacing w:line="360" w:lineRule="auto"/>
        <w:ind w:firstLine="411" w:firstLineChars="196"/>
        <w:rPr>
          <w:rFonts w:ascii="宋体" w:eastAsia="宋体"/>
          <w:szCs w:val="21"/>
        </w:rPr>
      </w:pPr>
      <w:r>
        <w:rPr>
          <w:rFonts w:hint="eastAsia" w:ascii="宋体" w:eastAsia="宋体"/>
          <w:szCs w:val="21"/>
        </w:rPr>
        <w:t>3.8“电子投标文件”指利用</w:t>
      </w:r>
      <w:r>
        <w:rPr>
          <w:rFonts w:hint="eastAsia" w:ascii="宋体" w:eastAsia="宋体"/>
          <w:bCs/>
          <w:szCs w:val="21"/>
        </w:rPr>
        <w:t>深圳公共资源交易网</w:t>
      </w:r>
      <w:r>
        <w:rPr>
          <w:rFonts w:hint="eastAsia" w:ascii="宋体" w:eastAsia="宋体"/>
          <w:szCs w:val="21"/>
        </w:rPr>
        <w:t>站提供的深圳智慧采购平台投标文件制作专用软件（以下简称：投标文件制作软件）制作并加密的投标文件,适用于网上投标；（投标文件制作软件可从“下载地址：</w:t>
      </w:r>
      <w:r>
        <w:rPr>
          <w:rFonts w:ascii="宋体" w:eastAsia="宋体"/>
          <w:szCs w:val="21"/>
        </w:rPr>
        <w:t>http://zfcg.szggzy.com/</w:t>
      </w:r>
      <w:r>
        <w:rPr>
          <w:rFonts w:hint="eastAsia" w:ascii="宋体" w:eastAsia="宋体"/>
          <w:szCs w:val="21"/>
        </w:rPr>
        <w:t>TPBidder/DownLoad/深圳市智慧采购平台投标文件制作专用软件.zip”下载）；</w:t>
      </w:r>
    </w:p>
    <w:p w14:paraId="38293AA5">
      <w:pPr>
        <w:spacing w:line="360" w:lineRule="auto"/>
        <w:ind w:firstLine="411" w:firstLineChars="196"/>
        <w:rPr>
          <w:rFonts w:ascii="宋体" w:eastAsia="宋体"/>
          <w:szCs w:val="21"/>
        </w:rPr>
      </w:pPr>
      <w:r>
        <w:rPr>
          <w:rFonts w:hint="eastAsia" w:ascii="宋体" w:eastAsia="宋体"/>
          <w:szCs w:val="21"/>
        </w:rPr>
        <w:t>3.9“网上投标”指通过</w:t>
      </w:r>
      <w:r>
        <w:rPr>
          <w:rFonts w:hint="eastAsia" w:ascii="宋体" w:eastAsia="宋体"/>
          <w:bCs/>
          <w:szCs w:val="21"/>
        </w:rPr>
        <w:t>深圳公共资源交易网</w:t>
      </w:r>
      <w:r>
        <w:rPr>
          <w:rFonts w:hint="eastAsia" w:ascii="宋体" w:eastAsia="宋体"/>
          <w:szCs w:val="21"/>
        </w:rPr>
        <w:t>站上传电子投标文件；</w:t>
      </w:r>
    </w:p>
    <w:p w14:paraId="547AA2CA">
      <w:pPr>
        <w:spacing w:line="360" w:lineRule="auto"/>
        <w:ind w:firstLine="411" w:firstLineChars="196"/>
        <w:rPr>
          <w:rFonts w:ascii="宋体" w:eastAsia="宋体"/>
          <w:szCs w:val="21"/>
        </w:rPr>
      </w:pPr>
      <w:r>
        <w:rPr>
          <w:rFonts w:hint="eastAsia" w:ascii="宋体" w:eastAsia="宋体"/>
          <w:szCs w:val="21"/>
        </w:rPr>
        <w:t>3.10招标文件中的标题或题名仅起引导作用，而不应视为对招标文件内容的理解和解释。</w:t>
      </w:r>
    </w:p>
    <w:p w14:paraId="22AD4F32">
      <w:pPr>
        <w:spacing w:line="360" w:lineRule="auto"/>
        <w:outlineLvl w:val="1"/>
        <w:rPr>
          <w:rFonts w:ascii="宋体" w:eastAsia="宋体"/>
          <w:b/>
          <w:bCs/>
          <w:szCs w:val="21"/>
        </w:rPr>
      </w:pPr>
      <w:r>
        <w:rPr>
          <w:rFonts w:hint="eastAsia" w:ascii="宋体" w:eastAsia="宋体"/>
          <w:b/>
          <w:bCs/>
          <w:szCs w:val="21"/>
        </w:rPr>
        <w:t xml:space="preserve">4. </w:t>
      </w:r>
      <w:bookmarkStart w:id="47" w:name="_Hlk72398643"/>
      <w:r>
        <w:rPr>
          <w:rFonts w:hint="eastAsia" w:ascii="宋体" w:eastAsia="宋体"/>
          <w:b/>
          <w:bCs/>
          <w:szCs w:val="21"/>
        </w:rPr>
        <w:t>政府采购供应商责任</w:t>
      </w:r>
    </w:p>
    <w:p w14:paraId="13D87524">
      <w:pPr>
        <w:spacing w:line="360" w:lineRule="auto"/>
        <w:ind w:firstLine="411" w:firstLineChars="196"/>
        <w:rPr>
          <w:rFonts w:ascii="宋体" w:eastAsia="宋体"/>
          <w:szCs w:val="21"/>
        </w:rPr>
      </w:pPr>
      <w:r>
        <w:rPr>
          <w:rFonts w:hint="eastAsia" w:ascii="宋体" w:eastAsia="宋体"/>
          <w:szCs w:val="21"/>
        </w:rPr>
        <w:t>4.1欢迎诚信、有实力和有社会责任心的供应商参与政府采购事业。</w:t>
      </w:r>
    </w:p>
    <w:p w14:paraId="50B06707">
      <w:pPr>
        <w:spacing w:line="360" w:lineRule="auto"/>
        <w:ind w:firstLine="411" w:firstLineChars="196"/>
        <w:rPr>
          <w:rFonts w:ascii="宋体" w:eastAsia="宋体"/>
          <w:szCs w:val="21"/>
        </w:rPr>
      </w:pPr>
      <w:r>
        <w:rPr>
          <w:rFonts w:hint="eastAsia" w:ascii="宋体" w:eastAsia="宋体"/>
          <w:szCs w:val="21"/>
        </w:rPr>
        <w:t>4.2投标人应当遵循公平竞争的原则，不得恶意串通，不得妨碍其他投标人的竞争行为，不得损害采购人或者其他投标人的合法权益。如违反上述要求，经核实后，供应商的投标无效。</w:t>
      </w:r>
    </w:p>
    <w:p w14:paraId="5025D526">
      <w:pPr>
        <w:spacing w:line="360" w:lineRule="auto"/>
        <w:outlineLvl w:val="1"/>
        <w:rPr>
          <w:rFonts w:ascii="宋体" w:eastAsia="宋体"/>
          <w:b/>
          <w:bCs/>
          <w:szCs w:val="21"/>
        </w:rPr>
      </w:pPr>
      <w:r>
        <w:rPr>
          <w:rFonts w:hint="eastAsia" w:ascii="宋体" w:eastAsia="宋体"/>
          <w:b/>
          <w:bCs/>
          <w:szCs w:val="21"/>
        </w:rPr>
        <w:t>5．投标人参加政府采购的条件</w:t>
      </w:r>
    </w:p>
    <w:p w14:paraId="76DE9B53">
      <w:pPr>
        <w:spacing w:line="360" w:lineRule="auto"/>
        <w:ind w:firstLine="411" w:firstLineChars="196"/>
        <w:rPr>
          <w:rFonts w:ascii="宋体" w:eastAsia="宋体"/>
          <w:szCs w:val="21"/>
        </w:rPr>
      </w:pPr>
      <w:r>
        <w:rPr>
          <w:rFonts w:hint="eastAsia" w:ascii="宋体" w:eastAsia="宋体"/>
          <w:szCs w:val="21"/>
        </w:rPr>
        <w:t>5.1投标人应在投标前到</w:t>
      </w:r>
      <w:r>
        <w:rPr>
          <w:rFonts w:hint="eastAsia" w:ascii="宋体" w:eastAsia="宋体"/>
          <w:b/>
          <w:bCs/>
          <w:szCs w:val="21"/>
        </w:rPr>
        <w:t>深圳公共资源交易中心（具体在深圳交易集团有限公司政府采购业务分公司进行办理）</w:t>
      </w:r>
      <w:r>
        <w:rPr>
          <w:rFonts w:hint="eastAsia" w:ascii="宋体" w:eastAsia="宋体"/>
          <w:szCs w:val="21"/>
        </w:rPr>
        <w:t>进行注册并办理电子密钥。《</w:t>
      </w:r>
      <w:r>
        <w:rPr>
          <w:rFonts w:ascii="宋体" w:eastAsia="宋体"/>
          <w:szCs w:val="21"/>
        </w:rPr>
        <w:fldChar w:fldCharType="begin"/>
      </w:r>
      <w:r>
        <w:instrText xml:space="preserve">HYPERLINK "http://www.szzfcg.cn/viewer.do?id=2455258"</w:instrText>
      </w:r>
      <w:r>
        <w:rPr>
          <w:rFonts w:ascii="宋体" w:eastAsia="宋体"/>
          <w:szCs w:val="21"/>
        </w:rPr>
        <w:fldChar w:fldCharType="separate"/>
      </w:r>
      <w:r>
        <w:rPr>
          <w:rFonts w:ascii="宋体" w:eastAsia="宋体"/>
          <w:szCs w:val="21"/>
        </w:rPr>
        <w:t>供应商注册及电子密钥新申请指引</w:t>
      </w:r>
      <w:r>
        <w:rPr>
          <w:rFonts w:ascii="宋体" w:eastAsia="宋体"/>
          <w:szCs w:val="21"/>
        </w:rPr>
        <w:fldChar w:fldCharType="end"/>
      </w:r>
      <w:r>
        <w:rPr>
          <w:rFonts w:hint="eastAsia" w:ascii="宋体" w:eastAsia="宋体"/>
          <w:szCs w:val="21"/>
        </w:rPr>
        <w:t>》详见</w:t>
      </w:r>
      <w:r>
        <w:rPr>
          <w:rFonts w:ascii="宋体" w:eastAsia="宋体"/>
          <w:szCs w:val="21"/>
        </w:rPr>
        <w:t>http://zfcg.szggzy.com/</w:t>
      </w:r>
      <w:r>
        <w:rPr>
          <w:rFonts w:hint="eastAsia" w:ascii="宋体" w:eastAsia="宋体"/>
          <w:szCs w:val="21"/>
        </w:rPr>
        <w:t>。</w:t>
      </w:r>
    </w:p>
    <w:p w14:paraId="23530AFA">
      <w:pPr>
        <w:spacing w:line="360" w:lineRule="auto"/>
        <w:ind w:firstLine="411" w:firstLineChars="196"/>
        <w:rPr>
          <w:rFonts w:ascii="宋体" w:eastAsia="宋体"/>
          <w:szCs w:val="21"/>
        </w:rPr>
      </w:pPr>
      <w:r>
        <w:rPr>
          <w:rFonts w:hint="eastAsia" w:ascii="宋体" w:eastAsia="宋体"/>
          <w:szCs w:val="21"/>
        </w:rPr>
        <w:t>5.2投标人资格要求</w:t>
      </w:r>
    </w:p>
    <w:p w14:paraId="4B996532">
      <w:pPr>
        <w:spacing w:line="360" w:lineRule="auto"/>
        <w:ind w:firstLine="411" w:firstLineChars="196"/>
        <w:rPr>
          <w:rFonts w:ascii="宋体" w:eastAsia="宋体"/>
          <w:szCs w:val="21"/>
        </w:rPr>
      </w:pPr>
      <w:r>
        <w:rPr>
          <w:rFonts w:hint="eastAsia" w:ascii="宋体" w:eastAsia="宋体"/>
          <w:szCs w:val="21"/>
        </w:rPr>
        <w:t>参加本项目的投标人应具备的资格条件详见本项目招标公告中 “投标人资格要求”（即申请人的资格要求）的内容。</w:t>
      </w:r>
    </w:p>
    <w:p w14:paraId="356275C9">
      <w:pPr>
        <w:spacing w:line="360" w:lineRule="auto"/>
        <w:ind w:firstLine="411" w:firstLineChars="196"/>
        <w:rPr>
          <w:rFonts w:ascii="宋体" w:eastAsia="宋体"/>
          <w:szCs w:val="21"/>
        </w:rPr>
      </w:pPr>
      <w:r>
        <w:rPr>
          <w:rFonts w:hint="eastAsia" w:ascii="宋体" w:eastAsia="宋体"/>
          <w:szCs w:val="21"/>
        </w:rPr>
        <w:t>5.3联合体投标</w:t>
      </w:r>
    </w:p>
    <w:p w14:paraId="5A75F67B">
      <w:pPr>
        <w:spacing w:line="360" w:lineRule="auto"/>
        <w:ind w:firstLine="411" w:firstLineChars="196"/>
        <w:rPr>
          <w:rFonts w:ascii="宋体" w:eastAsia="宋体"/>
          <w:szCs w:val="21"/>
        </w:rPr>
      </w:pPr>
      <w:r>
        <w:rPr>
          <w:rFonts w:hint="eastAsia" w:ascii="宋体" w:eastAsia="宋体"/>
          <w:szCs w:val="21"/>
        </w:rPr>
        <w:t>5.3.1　以下有关联合体投标的条款仅适用于允许投标人组成联合体投标的项目。</w:t>
      </w:r>
    </w:p>
    <w:p w14:paraId="38BE511A">
      <w:pPr>
        <w:spacing w:line="360" w:lineRule="auto"/>
        <w:ind w:firstLine="411" w:firstLineChars="196"/>
        <w:rPr>
          <w:rFonts w:ascii="宋体" w:eastAsia="宋体"/>
          <w:szCs w:val="21"/>
        </w:rPr>
      </w:pPr>
      <w:r>
        <w:rPr>
          <w:rFonts w:hint="eastAsia" w:ascii="宋体" w:eastAsia="宋体"/>
          <w:szCs w:val="21"/>
        </w:rPr>
        <w:t>5.3.2  由两个或两个以上的自然人、法人或者其他组织可以组成一个联合体，以一个供应商的身份共同投标时，应符合以下原则：</w:t>
      </w:r>
    </w:p>
    <w:p w14:paraId="446214BE">
      <w:pPr>
        <w:spacing w:line="360" w:lineRule="auto"/>
        <w:ind w:firstLine="411" w:firstLineChars="196"/>
        <w:rPr>
          <w:rFonts w:ascii="宋体" w:eastAsia="宋体"/>
          <w:szCs w:val="21"/>
        </w:rPr>
      </w:pPr>
      <w:r>
        <w:rPr>
          <w:rFonts w:hint="eastAsia" w:ascii="宋体" w:eastAsia="宋体"/>
          <w:szCs w:val="21"/>
        </w:rPr>
        <w:t>（1）投标联合体各方参加政府采购活动应当具备下列条件：</w:t>
      </w:r>
    </w:p>
    <w:p w14:paraId="4A36147C">
      <w:pPr>
        <w:spacing w:line="360" w:lineRule="auto"/>
        <w:ind w:left="420" w:leftChars="200" w:firstLine="411" w:firstLineChars="196"/>
        <w:rPr>
          <w:rFonts w:ascii="宋体" w:eastAsia="宋体"/>
          <w:szCs w:val="21"/>
        </w:rPr>
      </w:pPr>
      <w:r>
        <w:rPr>
          <w:rFonts w:hint="eastAsia" w:ascii="宋体" w:eastAsia="宋体"/>
          <w:szCs w:val="21"/>
        </w:rPr>
        <w:t>1、具有独立承担民事责任的能力；</w:t>
      </w:r>
    </w:p>
    <w:p w14:paraId="68B12CE2">
      <w:pPr>
        <w:spacing w:line="360" w:lineRule="auto"/>
        <w:ind w:left="420" w:firstLine="411" w:firstLineChars="196"/>
        <w:rPr>
          <w:rFonts w:ascii="宋体" w:eastAsia="宋体"/>
          <w:szCs w:val="21"/>
        </w:rPr>
      </w:pPr>
      <w:r>
        <w:rPr>
          <w:rFonts w:hint="eastAsia" w:ascii="宋体" w:eastAsia="宋体"/>
          <w:szCs w:val="21"/>
        </w:rPr>
        <w:t>2、有良好的商业信誉和健全的财务会计制度；</w:t>
      </w:r>
    </w:p>
    <w:p w14:paraId="41AEA9C0">
      <w:pPr>
        <w:spacing w:line="360" w:lineRule="auto"/>
        <w:ind w:left="420" w:leftChars="200" w:firstLine="411" w:firstLineChars="196"/>
        <w:rPr>
          <w:rFonts w:ascii="宋体" w:eastAsia="宋体"/>
          <w:szCs w:val="21"/>
        </w:rPr>
      </w:pPr>
      <w:r>
        <w:rPr>
          <w:rFonts w:hint="eastAsia" w:ascii="宋体" w:eastAsia="宋体"/>
          <w:szCs w:val="21"/>
        </w:rPr>
        <w:t>3、具有履行合同所必需的设备和专业技术能力；</w:t>
      </w:r>
    </w:p>
    <w:p w14:paraId="23486C13">
      <w:pPr>
        <w:spacing w:line="360" w:lineRule="auto"/>
        <w:ind w:left="420" w:leftChars="200" w:firstLine="411" w:firstLineChars="196"/>
        <w:rPr>
          <w:rFonts w:ascii="宋体" w:eastAsia="宋体"/>
          <w:szCs w:val="21"/>
        </w:rPr>
      </w:pPr>
      <w:r>
        <w:rPr>
          <w:rFonts w:hint="eastAsia" w:ascii="宋体" w:eastAsia="宋体"/>
          <w:szCs w:val="21"/>
        </w:rPr>
        <w:t>4、有依法缴纳税收和社会保障资金的良好记录；</w:t>
      </w:r>
    </w:p>
    <w:p w14:paraId="52B4386B">
      <w:pPr>
        <w:spacing w:line="360" w:lineRule="auto"/>
        <w:ind w:left="420" w:leftChars="200" w:firstLine="411" w:firstLineChars="196"/>
        <w:rPr>
          <w:rFonts w:ascii="宋体" w:eastAsia="宋体"/>
          <w:szCs w:val="21"/>
        </w:rPr>
      </w:pPr>
      <w:r>
        <w:rPr>
          <w:rFonts w:hint="eastAsia" w:ascii="宋体" w:eastAsia="宋体"/>
          <w:szCs w:val="21"/>
        </w:rPr>
        <w:t>5、参加政府采购活动前三年内，在经营活动中没有重大违法记录；</w:t>
      </w:r>
    </w:p>
    <w:p w14:paraId="22736932">
      <w:pPr>
        <w:spacing w:line="360" w:lineRule="auto"/>
        <w:ind w:left="420" w:leftChars="200" w:firstLine="411" w:firstLineChars="196"/>
        <w:rPr>
          <w:rFonts w:ascii="宋体" w:eastAsia="宋体"/>
          <w:szCs w:val="21"/>
        </w:rPr>
      </w:pPr>
      <w:r>
        <w:rPr>
          <w:rFonts w:hint="eastAsia" w:ascii="宋体" w:eastAsia="宋体"/>
          <w:szCs w:val="21"/>
        </w:rPr>
        <w:t>6、法律、行政法规规定的其他条件。</w:t>
      </w:r>
    </w:p>
    <w:p w14:paraId="0686A577">
      <w:pPr>
        <w:spacing w:line="360" w:lineRule="auto"/>
        <w:ind w:firstLine="411" w:firstLineChars="196"/>
        <w:rPr>
          <w:rFonts w:ascii="宋体" w:eastAsia="宋体"/>
          <w:szCs w:val="21"/>
        </w:rPr>
      </w:pPr>
      <w:r>
        <w:rPr>
          <w:rFonts w:hint="eastAsia" w:ascii="宋体" w:eastAsia="宋体"/>
          <w:szCs w:val="21"/>
        </w:rPr>
        <w:t>（2）联合体中有同类资质的供应商按照联合体分工承担相同工作的，应当按照资质等级较低的供应商确定资质等级；</w:t>
      </w:r>
    </w:p>
    <w:p w14:paraId="4AAAB1CD">
      <w:pPr>
        <w:spacing w:line="360" w:lineRule="auto"/>
        <w:ind w:firstLine="411" w:firstLineChars="196"/>
        <w:rPr>
          <w:rFonts w:ascii="宋体" w:eastAsia="宋体"/>
          <w:szCs w:val="21"/>
        </w:rPr>
      </w:pPr>
      <w:r>
        <w:rPr>
          <w:rFonts w:hint="eastAsia" w:ascii="宋体" w:eastAsia="宋体"/>
          <w:szCs w:val="21"/>
        </w:rPr>
        <w:t>（3）是否允许联合体参加投标，应当由采购人和采购代理机构根据项目的实际情况和潜在供应商的数量自主决定，如果决定接受联合体投标则应当在招标公告中明示；</w:t>
      </w:r>
    </w:p>
    <w:p w14:paraId="3B26B769">
      <w:pPr>
        <w:spacing w:line="360" w:lineRule="auto"/>
        <w:ind w:firstLine="411" w:firstLineChars="196"/>
        <w:rPr>
          <w:rFonts w:ascii="宋体" w:eastAsia="宋体"/>
          <w:szCs w:val="21"/>
        </w:rPr>
      </w:pPr>
      <w:r>
        <w:rPr>
          <w:rFonts w:hint="eastAsia" w:ascii="宋体" w:eastAsia="宋体"/>
          <w:szCs w:val="21"/>
        </w:rPr>
        <w:t>（4）投标人的投标文件及中标后签署的合同协议对联合体各方均具法律约束力；</w:t>
      </w:r>
    </w:p>
    <w:p w14:paraId="1FCC211D">
      <w:pPr>
        <w:spacing w:line="360" w:lineRule="auto"/>
        <w:ind w:firstLine="411" w:firstLineChars="196"/>
        <w:rPr>
          <w:rFonts w:ascii="宋体" w:eastAsia="宋体"/>
          <w:szCs w:val="21"/>
        </w:rPr>
      </w:pPr>
      <w:r>
        <w:rPr>
          <w:rFonts w:hint="eastAsia" w:ascii="宋体" w:eastAsia="宋体"/>
          <w:szCs w:val="21"/>
        </w:rPr>
        <w:t>（5）联合体各方应当签订联合体投标协议，明确约定各方拟承担的工作和责任，并将该协议随投标文件一并递交给采购代理机构；</w:t>
      </w:r>
    </w:p>
    <w:p w14:paraId="367DB8FF">
      <w:pPr>
        <w:spacing w:line="360" w:lineRule="auto"/>
        <w:ind w:firstLine="411" w:firstLineChars="196"/>
        <w:rPr>
          <w:rFonts w:ascii="宋体" w:eastAsia="宋体"/>
          <w:szCs w:val="21"/>
        </w:rPr>
      </w:pPr>
      <w:r>
        <w:rPr>
          <w:rFonts w:hint="eastAsia" w:ascii="宋体" w:eastAsia="宋体"/>
          <w:szCs w:val="21"/>
        </w:rPr>
        <w:t>（6）联合体中标后，联合体各方应当共同与采购人签订合同，就中标项目向采购人承担连带责任；</w:t>
      </w:r>
    </w:p>
    <w:p w14:paraId="3271914E">
      <w:pPr>
        <w:spacing w:line="360" w:lineRule="auto"/>
        <w:ind w:firstLine="411" w:firstLineChars="196"/>
        <w:rPr>
          <w:rFonts w:ascii="宋体" w:eastAsia="宋体"/>
          <w:szCs w:val="21"/>
        </w:rPr>
      </w:pPr>
      <w:r>
        <w:rPr>
          <w:rFonts w:hint="eastAsia" w:ascii="宋体" w:eastAsia="宋体"/>
          <w:szCs w:val="21"/>
        </w:rPr>
        <w:t>（7）以联合体形式参加政府采购活动的，联合体各方不得再单独参加或者与其他供应商另外组成联合体参加同一合同项下的政府采购活动，出现上述情况者，其投标和与此有关联合体、总包单位的投标将被拒绝；</w:t>
      </w:r>
    </w:p>
    <w:p w14:paraId="27471D58">
      <w:pPr>
        <w:spacing w:line="360" w:lineRule="auto"/>
        <w:ind w:firstLine="411" w:firstLineChars="196"/>
        <w:rPr>
          <w:rFonts w:ascii="宋体" w:eastAsia="宋体"/>
          <w:szCs w:val="21"/>
        </w:rPr>
      </w:pPr>
      <w:r>
        <w:rPr>
          <w:rFonts w:hint="eastAsia" w:ascii="宋体" w:eastAsia="宋体"/>
          <w:szCs w:val="21"/>
        </w:rPr>
        <w:t>（8）本通用条款中“投标人”一词亦指联合体各方，专用条款另有规定或说明的除外。</w:t>
      </w:r>
    </w:p>
    <w:p w14:paraId="6C076CE4">
      <w:pPr>
        <w:spacing w:line="360" w:lineRule="auto"/>
        <w:outlineLvl w:val="1"/>
        <w:rPr>
          <w:rFonts w:ascii="宋体" w:eastAsia="宋体"/>
          <w:b/>
          <w:bCs/>
          <w:szCs w:val="21"/>
        </w:rPr>
      </w:pPr>
      <w:r>
        <w:rPr>
          <w:rFonts w:hint="eastAsia" w:ascii="宋体" w:eastAsia="宋体"/>
          <w:b/>
          <w:bCs/>
          <w:szCs w:val="21"/>
        </w:rPr>
        <w:t>6．政策导向</w:t>
      </w:r>
    </w:p>
    <w:p w14:paraId="14A0E4C8">
      <w:pPr>
        <w:spacing w:line="360" w:lineRule="auto"/>
        <w:ind w:firstLine="411" w:firstLineChars="196"/>
        <w:rPr>
          <w:rFonts w:ascii="宋体" w:eastAsia="宋体"/>
          <w:szCs w:val="21"/>
        </w:rPr>
      </w:pPr>
      <w:r>
        <w:rPr>
          <w:rFonts w:hint="eastAsia" w:ascii="宋体" w:eastAsia="宋体"/>
          <w:szCs w:val="21"/>
        </w:rPr>
        <w:t>6.1政府采购扶持贫困地区、中小企业、监狱企业和残疾人福利性单位发展，支持节能减排、环境保护。</w:t>
      </w:r>
    </w:p>
    <w:p w14:paraId="76577EC5">
      <w:pPr>
        <w:spacing w:line="360" w:lineRule="auto"/>
        <w:ind w:firstLine="405"/>
        <w:rPr>
          <w:rFonts w:ascii="宋体" w:eastAsia="宋体"/>
          <w:szCs w:val="21"/>
          <w:shd w:val="clear" w:color="auto" w:fill="FFFFFF"/>
        </w:rPr>
      </w:pPr>
      <w:r>
        <w:rPr>
          <w:rFonts w:hint="eastAsia" w:ascii="宋体" w:eastAsia="宋体"/>
          <w:szCs w:val="21"/>
        </w:rPr>
        <w:t>6.2本项目落实深圳市政府采购供应商诚信管理政策要求。</w:t>
      </w:r>
    </w:p>
    <w:p w14:paraId="3E63D46D">
      <w:pPr>
        <w:spacing w:line="360" w:lineRule="auto"/>
        <w:outlineLvl w:val="1"/>
        <w:rPr>
          <w:rFonts w:ascii="宋体" w:eastAsia="宋体"/>
          <w:b/>
          <w:bCs/>
          <w:szCs w:val="21"/>
        </w:rPr>
      </w:pPr>
      <w:r>
        <w:rPr>
          <w:rFonts w:hint="eastAsia" w:ascii="宋体" w:eastAsia="宋体"/>
          <w:b/>
          <w:bCs/>
          <w:szCs w:val="21"/>
        </w:rPr>
        <w:t>7. 本项目若涉及采购货物，则合格的货物及相应服务应满足以下要求：</w:t>
      </w:r>
    </w:p>
    <w:p w14:paraId="3A025AAF">
      <w:pPr>
        <w:spacing w:line="360" w:lineRule="auto"/>
        <w:ind w:firstLine="411" w:firstLineChars="196"/>
        <w:rPr>
          <w:rFonts w:ascii="宋体" w:eastAsia="宋体"/>
          <w:szCs w:val="21"/>
        </w:rPr>
      </w:pPr>
      <w:r>
        <w:rPr>
          <w:rFonts w:hint="eastAsia" w:ascii="宋体" w:eastAsia="宋体"/>
          <w:szCs w:val="21"/>
        </w:rPr>
        <w:t>7</w:t>
      </w:r>
      <w:r>
        <w:rPr>
          <w:rFonts w:ascii="宋体" w:eastAsia="宋体"/>
          <w:szCs w:val="21"/>
        </w:rPr>
        <w:t xml:space="preserve">.1  </w:t>
      </w:r>
      <w:r>
        <w:rPr>
          <w:rFonts w:hint="eastAsia" w:ascii="宋体" w:eastAsia="宋体"/>
          <w:szCs w:val="21"/>
        </w:rPr>
        <w:t>必须是全新、未使用过的原装合格正品（包括零部件），如安装或配置了软件的，须为正版软件。</w:t>
      </w:r>
    </w:p>
    <w:p w14:paraId="75F289A0">
      <w:pPr>
        <w:spacing w:line="360" w:lineRule="auto"/>
        <w:ind w:firstLine="411" w:firstLineChars="196"/>
        <w:rPr>
          <w:rFonts w:ascii="宋体" w:eastAsia="宋体"/>
          <w:szCs w:val="21"/>
        </w:rPr>
      </w:pPr>
      <w:r>
        <w:rPr>
          <w:rFonts w:hint="eastAsia" w:ascii="宋体" w:eastAsia="宋体"/>
          <w:szCs w:val="21"/>
        </w:rPr>
        <w:t>7.2  国产的货物及其有关服务必须符合中华人民共和国的设计、制造生产标准及行业标准。招标公告有其他要求的，亦应符合其要求。</w:t>
      </w:r>
    </w:p>
    <w:p w14:paraId="07708E56">
      <w:pPr>
        <w:spacing w:line="360" w:lineRule="auto"/>
        <w:ind w:firstLine="411" w:firstLineChars="196"/>
        <w:rPr>
          <w:rFonts w:ascii="宋体" w:eastAsia="宋体"/>
          <w:szCs w:val="21"/>
        </w:rPr>
      </w:pPr>
      <w:r>
        <w:rPr>
          <w:rFonts w:hint="eastAsia" w:ascii="宋体" w:eastAsia="宋体"/>
          <w:szCs w:val="21"/>
        </w:rPr>
        <w:t>7</w:t>
      </w:r>
      <w:r>
        <w:rPr>
          <w:rFonts w:ascii="宋体" w:eastAsia="宋体"/>
          <w:szCs w:val="21"/>
        </w:rPr>
        <w:t>.</w:t>
      </w:r>
      <w:r>
        <w:rPr>
          <w:rFonts w:hint="eastAsia" w:ascii="宋体" w:eastAsia="宋体"/>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4F7313B4">
      <w:pPr>
        <w:spacing w:line="360" w:lineRule="auto"/>
        <w:ind w:firstLine="411" w:firstLineChars="196"/>
        <w:rPr>
          <w:rFonts w:ascii="宋体" w:eastAsia="宋体"/>
          <w:szCs w:val="21"/>
        </w:rPr>
      </w:pPr>
      <w:r>
        <w:rPr>
          <w:rFonts w:hint="eastAsia" w:ascii="宋体" w:eastAsia="宋体"/>
          <w:szCs w:val="21"/>
        </w:rPr>
        <w:t>7</w:t>
      </w:r>
      <w:r>
        <w:rPr>
          <w:rFonts w:ascii="宋体" w:eastAsia="宋体"/>
          <w:szCs w:val="21"/>
        </w:rPr>
        <w:t>.</w:t>
      </w:r>
      <w:r>
        <w:rPr>
          <w:rFonts w:hint="eastAsia" w:ascii="宋体" w:eastAsia="宋体"/>
          <w:szCs w:val="21"/>
        </w:rPr>
        <w:t>4投标人</w:t>
      </w:r>
      <w:bookmarkStart w:id="48" w:name="_Hlk72152753"/>
      <w:r>
        <w:rPr>
          <w:rFonts w:hint="eastAsia" w:ascii="宋体" w:eastAsia="宋体"/>
          <w:szCs w:val="21"/>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48"/>
    </w:p>
    <w:p w14:paraId="31644351">
      <w:pPr>
        <w:spacing w:line="360" w:lineRule="auto"/>
        <w:ind w:firstLine="411" w:firstLineChars="196"/>
        <w:rPr>
          <w:rFonts w:ascii="宋体" w:eastAsia="宋体"/>
          <w:szCs w:val="21"/>
        </w:rPr>
      </w:pPr>
      <w:r>
        <w:rPr>
          <w:rFonts w:hint="eastAsia" w:ascii="宋体" w:eastAsia="宋体"/>
          <w:szCs w:val="21"/>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4C0300B3">
      <w:pPr>
        <w:spacing w:line="360" w:lineRule="auto"/>
        <w:ind w:firstLine="411" w:firstLineChars="196"/>
        <w:rPr>
          <w:rFonts w:ascii="宋体" w:eastAsia="宋体"/>
          <w:szCs w:val="21"/>
        </w:rPr>
      </w:pPr>
      <w:r>
        <w:rPr>
          <w:rFonts w:hint="eastAsia" w:ascii="宋体" w:eastAsia="宋体"/>
          <w:szCs w:val="21"/>
        </w:rPr>
        <w:t>7.6  工期要求：投标人在投标时对其所投项目应提交交货进度、交货计划等，在合同规定的时间内完成项目实施工作。</w:t>
      </w:r>
    </w:p>
    <w:p w14:paraId="20FDEEB7">
      <w:pPr>
        <w:spacing w:line="360" w:lineRule="auto"/>
        <w:ind w:firstLine="411" w:firstLineChars="196"/>
        <w:rPr>
          <w:rFonts w:ascii="宋体" w:eastAsia="宋体"/>
          <w:szCs w:val="21"/>
        </w:rPr>
      </w:pPr>
      <w:r>
        <w:rPr>
          <w:rFonts w:hint="eastAsia" w:ascii="宋体" w:eastAsia="宋体"/>
          <w:szCs w:val="21"/>
        </w:rPr>
        <w:t>7.7  投标人必须承担的设备运输、安装调试、验收检测和提供设备操作说明书、图纸等其他相关及类似的义务。</w:t>
      </w:r>
    </w:p>
    <w:p w14:paraId="4A72417D">
      <w:pPr>
        <w:spacing w:line="360" w:lineRule="auto"/>
        <w:outlineLvl w:val="1"/>
        <w:rPr>
          <w:rFonts w:ascii="宋体" w:eastAsia="宋体"/>
          <w:b/>
          <w:bCs/>
          <w:szCs w:val="21"/>
        </w:rPr>
      </w:pPr>
      <w:r>
        <w:rPr>
          <w:rFonts w:hint="eastAsia" w:ascii="宋体" w:eastAsia="宋体"/>
          <w:b/>
          <w:bCs/>
          <w:szCs w:val="21"/>
        </w:rPr>
        <w:t>8．投标费用</w:t>
      </w:r>
    </w:p>
    <w:p w14:paraId="32EE4E56">
      <w:pPr>
        <w:spacing w:line="360" w:lineRule="auto"/>
        <w:ind w:firstLine="411" w:firstLineChars="196"/>
        <w:rPr>
          <w:rFonts w:ascii="宋体" w:eastAsia="宋体"/>
          <w:szCs w:val="21"/>
        </w:rPr>
      </w:pPr>
      <w:r>
        <w:rPr>
          <w:rFonts w:hint="eastAsia" w:ascii="宋体" w:eastAsia="宋体"/>
          <w:szCs w:val="21"/>
        </w:rPr>
        <w:t>不论投标结果如何，投标人应承担其编制投标文件与递交投标文件所涉及的一切费用。</w:t>
      </w:r>
    </w:p>
    <w:p w14:paraId="50048C9D">
      <w:pPr>
        <w:spacing w:line="360" w:lineRule="auto"/>
        <w:outlineLvl w:val="1"/>
        <w:rPr>
          <w:rFonts w:ascii="宋体" w:eastAsia="宋体"/>
          <w:b/>
          <w:bCs/>
          <w:szCs w:val="21"/>
        </w:rPr>
      </w:pPr>
      <w:r>
        <w:rPr>
          <w:rFonts w:hint="eastAsia" w:ascii="宋体" w:eastAsia="宋体"/>
          <w:b/>
          <w:bCs/>
          <w:szCs w:val="21"/>
        </w:rPr>
        <w:t>9．踏勘现场</w:t>
      </w:r>
    </w:p>
    <w:p w14:paraId="20428A1B">
      <w:pPr>
        <w:spacing w:line="360" w:lineRule="auto"/>
        <w:ind w:firstLine="411" w:firstLineChars="196"/>
        <w:rPr>
          <w:rFonts w:ascii="宋体" w:eastAsia="宋体"/>
          <w:szCs w:val="21"/>
        </w:rPr>
      </w:pPr>
      <w:r>
        <w:rPr>
          <w:rFonts w:hint="eastAsia" w:ascii="宋体" w:eastAsia="宋体"/>
          <w:szCs w:val="21"/>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4CF9638A">
      <w:pPr>
        <w:spacing w:line="360" w:lineRule="auto"/>
        <w:ind w:firstLine="411" w:firstLineChars="196"/>
        <w:rPr>
          <w:rFonts w:ascii="宋体" w:eastAsia="宋体"/>
          <w:szCs w:val="21"/>
        </w:rPr>
      </w:pPr>
      <w:r>
        <w:rPr>
          <w:rFonts w:hint="eastAsia" w:ascii="宋体" w:eastAsia="宋体"/>
          <w:szCs w:val="21"/>
        </w:rPr>
        <w:t>9.2投标人及其人员经过采购人的允许，可以进入采购人的项目现场踏勘。若招标文件要求投标人于统一时间地点踏勘现场的，投标人应当按时前往。</w:t>
      </w:r>
    </w:p>
    <w:p w14:paraId="7D1118CD">
      <w:pPr>
        <w:spacing w:line="360" w:lineRule="auto"/>
        <w:ind w:firstLine="411" w:firstLineChars="196"/>
        <w:rPr>
          <w:rFonts w:ascii="宋体" w:eastAsia="宋体"/>
          <w:szCs w:val="21"/>
        </w:rPr>
      </w:pPr>
      <w:r>
        <w:rPr>
          <w:rFonts w:hint="eastAsia" w:ascii="宋体" w:eastAsia="宋体"/>
          <w:szCs w:val="21"/>
        </w:rPr>
        <w:t>9.3采购人应当通过采购代理机构向投标人提供有关现场的书面资料和数据。</w:t>
      </w:r>
    </w:p>
    <w:p w14:paraId="0A8AF978">
      <w:pPr>
        <w:spacing w:line="360" w:lineRule="auto"/>
        <w:ind w:firstLine="411" w:firstLineChars="196"/>
        <w:rPr>
          <w:rFonts w:ascii="宋体" w:eastAsia="宋体"/>
          <w:szCs w:val="21"/>
        </w:rPr>
      </w:pPr>
      <w:r>
        <w:rPr>
          <w:rFonts w:hint="eastAsia" w:ascii="宋体" w:eastAsia="宋体"/>
          <w:szCs w:val="21"/>
        </w:rPr>
        <w:t>9.4任何人或任何组织在踏勘现场时向投标人提供的任何书面资料或口头承诺，未经采购代理机构在网上发布或书面通知，均作无效处理。</w:t>
      </w:r>
    </w:p>
    <w:p w14:paraId="4F698147">
      <w:pPr>
        <w:spacing w:line="360" w:lineRule="auto"/>
        <w:ind w:firstLine="411" w:firstLineChars="196"/>
        <w:rPr>
          <w:rFonts w:ascii="宋体" w:eastAsia="宋体"/>
          <w:szCs w:val="21"/>
        </w:rPr>
      </w:pPr>
      <w:r>
        <w:rPr>
          <w:rFonts w:ascii="宋体" w:eastAsia="宋体"/>
          <w:szCs w:val="21"/>
        </w:rPr>
        <w:t>9</w:t>
      </w:r>
      <w:r>
        <w:rPr>
          <w:rFonts w:hint="eastAsia" w:ascii="宋体" w:eastAsia="宋体"/>
          <w:szCs w:val="21"/>
        </w:rPr>
        <w:t>.</w:t>
      </w:r>
      <w:r>
        <w:rPr>
          <w:rFonts w:ascii="宋体" w:eastAsia="宋体"/>
          <w:szCs w:val="21"/>
        </w:rPr>
        <w:t>5</w:t>
      </w:r>
      <w:r>
        <w:rPr>
          <w:rFonts w:hint="eastAsia" w:ascii="宋体" w:eastAsia="宋体"/>
          <w:szCs w:val="21"/>
        </w:rPr>
        <w:t>未参与踏勘现场不作为否定投标人资格的理由。</w:t>
      </w:r>
    </w:p>
    <w:p w14:paraId="6B809FBA">
      <w:pPr>
        <w:spacing w:line="360" w:lineRule="auto"/>
        <w:outlineLvl w:val="1"/>
        <w:rPr>
          <w:rFonts w:ascii="宋体" w:eastAsia="宋体"/>
          <w:b/>
          <w:bCs/>
          <w:szCs w:val="21"/>
        </w:rPr>
      </w:pPr>
      <w:r>
        <w:rPr>
          <w:rFonts w:hint="eastAsia" w:ascii="宋体" w:eastAsia="宋体"/>
          <w:b/>
          <w:bCs/>
          <w:szCs w:val="21"/>
        </w:rPr>
        <w:t>1</w:t>
      </w:r>
      <w:r>
        <w:rPr>
          <w:rFonts w:ascii="宋体" w:eastAsia="宋体"/>
          <w:b/>
          <w:bCs/>
          <w:szCs w:val="21"/>
        </w:rPr>
        <w:t>0</w:t>
      </w:r>
      <w:r>
        <w:rPr>
          <w:rFonts w:hint="eastAsia" w:ascii="宋体" w:eastAsia="宋体"/>
          <w:b/>
          <w:bCs/>
          <w:szCs w:val="21"/>
        </w:rPr>
        <w:t>．标前会议</w:t>
      </w:r>
    </w:p>
    <w:p w14:paraId="0CF1434D">
      <w:pPr>
        <w:spacing w:line="360" w:lineRule="auto"/>
        <w:ind w:firstLine="411" w:firstLineChars="196"/>
        <w:rPr>
          <w:rFonts w:ascii="宋体" w:eastAsia="宋体"/>
          <w:szCs w:val="21"/>
        </w:rPr>
      </w:pPr>
      <w:r>
        <w:rPr>
          <w:rFonts w:hint="eastAsia" w:ascii="宋体" w:eastAsia="宋体"/>
          <w:szCs w:val="21"/>
        </w:rPr>
        <w:t>1</w:t>
      </w:r>
      <w:r>
        <w:rPr>
          <w:rFonts w:ascii="宋体" w:eastAsia="宋体"/>
          <w:szCs w:val="21"/>
        </w:rPr>
        <w:t>0</w:t>
      </w:r>
      <w:r>
        <w:rPr>
          <w:rFonts w:hint="eastAsia" w:ascii="宋体" w:eastAsia="宋体"/>
          <w:szCs w:val="21"/>
        </w:rPr>
        <w:t>.</w:t>
      </w:r>
      <w:r>
        <w:rPr>
          <w:rFonts w:ascii="宋体" w:eastAsia="宋体"/>
          <w:szCs w:val="21"/>
        </w:rPr>
        <w:t>1</w:t>
      </w:r>
      <w:r>
        <w:rPr>
          <w:rFonts w:hint="eastAsia" w:ascii="宋体" w:eastAsia="宋体"/>
          <w:szCs w:val="21"/>
        </w:rPr>
        <w:t>如采购人或采购代理机构认为有必要组织标前会议，投标人应按照招标文件规定的时间或采购代理机构另行书面通知（包括采购代理机构网站发布方式，如更正公告等）的时间和地点，参与标前会议。</w:t>
      </w:r>
    </w:p>
    <w:p w14:paraId="01A6EA0F">
      <w:pPr>
        <w:spacing w:line="360" w:lineRule="auto"/>
        <w:ind w:firstLine="411" w:firstLineChars="196"/>
        <w:rPr>
          <w:rFonts w:ascii="宋体" w:eastAsia="宋体"/>
          <w:szCs w:val="21"/>
        </w:rPr>
      </w:pPr>
      <w:r>
        <w:rPr>
          <w:rFonts w:ascii="宋体" w:eastAsia="宋体"/>
          <w:szCs w:val="21"/>
        </w:rPr>
        <w:t>10</w:t>
      </w:r>
      <w:r>
        <w:rPr>
          <w:rFonts w:hint="eastAsia" w:ascii="宋体" w:eastAsia="宋体"/>
          <w:szCs w:val="21"/>
        </w:rPr>
        <w:t>.</w:t>
      </w:r>
      <w:r>
        <w:rPr>
          <w:rFonts w:ascii="宋体" w:eastAsia="宋体"/>
          <w:szCs w:val="21"/>
        </w:rPr>
        <w:t>2</w:t>
      </w:r>
      <w:r>
        <w:rPr>
          <w:rFonts w:hint="eastAsia" w:ascii="宋体" w:eastAsia="宋体"/>
          <w:szCs w:val="21"/>
        </w:rPr>
        <w:t>任何人或任何组织在标前会议时向投标人提供的任何书面资料或口头承诺，未经采购代理机构在网上发布或书面通知，均作无效处理。</w:t>
      </w:r>
    </w:p>
    <w:p w14:paraId="59C4287A">
      <w:pPr>
        <w:spacing w:line="360" w:lineRule="auto"/>
        <w:ind w:firstLine="411" w:firstLineChars="196"/>
        <w:rPr>
          <w:rFonts w:ascii="宋体" w:eastAsia="宋体"/>
          <w:szCs w:val="21"/>
        </w:rPr>
      </w:pPr>
      <w:r>
        <w:rPr>
          <w:rFonts w:hint="eastAsia" w:ascii="宋体" w:eastAsia="宋体"/>
          <w:szCs w:val="21"/>
        </w:rPr>
        <w:t>1</w:t>
      </w:r>
      <w:r>
        <w:rPr>
          <w:rFonts w:ascii="宋体" w:eastAsia="宋体"/>
          <w:szCs w:val="21"/>
        </w:rPr>
        <w:t>0</w:t>
      </w:r>
      <w:r>
        <w:rPr>
          <w:rFonts w:hint="eastAsia" w:ascii="宋体" w:eastAsia="宋体"/>
          <w:szCs w:val="21"/>
        </w:rPr>
        <w:t>.</w:t>
      </w:r>
      <w:r>
        <w:rPr>
          <w:rFonts w:ascii="宋体" w:eastAsia="宋体"/>
          <w:szCs w:val="21"/>
        </w:rPr>
        <w:t>3</w:t>
      </w:r>
      <w:r>
        <w:rPr>
          <w:rFonts w:hint="eastAsia" w:ascii="宋体" w:eastAsia="宋体"/>
          <w:szCs w:val="21"/>
        </w:rPr>
        <w:t>未参与标前会议不作为否定投标人资格的理由。</w:t>
      </w:r>
    </w:p>
    <w:bookmarkEnd w:id="47"/>
    <w:p w14:paraId="73424F44">
      <w:pPr>
        <w:pStyle w:val="5"/>
        <w:widowControl/>
        <w:numPr>
          <w:ilvl w:val="0"/>
          <w:numId w:val="14"/>
        </w:numPr>
        <w:spacing w:before="120" w:beforeLines="50" w:after="120" w:afterLines="50" w:line="360" w:lineRule="auto"/>
        <w:ind w:left="562" w:hanging="562"/>
        <w:rPr>
          <w:rFonts w:ascii="宋体" w:eastAsia="宋体"/>
          <w:sz w:val="28"/>
          <w:szCs w:val="28"/>
        </w:rPr>
      </w:pPr>
      <w:r>
        <w:rPr>
          <w:rFonts w:hint="eastAsia" w:ascii="宋体" w:eastAsia="宋体"/>
          <w:sz w:val="28"/>
          <w:szCs w:val="28"/>
        </w:rPr>
        <w:t>招标文件</w:t>
      </w:r>
    </w:p>
    <w:p w14:paraId="3BF64B3F">
      <w:pPr>
        <w:spacing w:line="360" w:lineRule="auto"/>
        <w:rPr>
          <w:rFonts w:ascii="宋体" w:eastAsia="宋体"/>
          <w:b/>
          <w:bCs/>
          <w:szCs w:val="21"/>
        </w:rPr>
      </w:pPr>
      <w:r>
        <w:rPr>
          <w:rFonts w:hint="eastAsia" w:ascii="宋体" w:eastAsia="宋体"/>
          <w:b/>
          <w:bCs/>
          <w:szCs w:val="21"/>
        </w:rPr>
        <w:t>1</w:t>
      </w:r>
      <w:r>
        <w:rPr>
          <w:rFonts w:ascii="宋体" w:eastAsia="宋体"/>
          <w:b/>
          <w:bCs/>
          <w:szCs w:val="21"/>
        </w:rPr>
        <w:t>1</w:t>
      </w:r>
      <w:r>
        <w:rPr>
          <w:rFonts w:hint="eastAsia" w:ascii="宋体" w:eastAsia="宋体"/>
          <w:b/>
          <w:bCs/>
          <w:szCs w:val="21"/>
        </w:rPr>
        <w:t>．</w:t>
      </w:r>
      <w:bookmarkStart w:id="49" w:name="_Hlk72399819"/>
      <w:r>
        <w:rPr>
          <w:rFonts w:hint="eastAsia" w:ascii="宋体" w:eastAsia="宋体"/>
          <w:b/>
          <w:bCs/>
          <w:szCs w:val="21"/>
        </w:rPr>
        <w:t>招标文件的编制与组成</w:t>
      </w:r>
    </w:p>
    <w:p w14:paraId="779D99A3">
      <w:pPr>
        <w:snapToGrid w:val="0"/>
        <w:spacing w:line="360" w:lineRule="auto"/>
        <w:ind w:firstLine="420" w:firstLineChars="200"/>
        <w:rPr>
          <w:rFonts w:ascii="宋体" w:eastAsia="宋体"/>
          <w:szCs w:val="21"/>
        </w:rPr>
      </w:pPr>
      <w:r>
        <w:rPr>
          <w:rFonts w:hint="eastAsia" w:ascii="宋体" w:eastAsia="宋体"/>
          <w:szCs w:val="21"/>
        </w:rPr>
        <w:t>1</w:t>
      </w:r>
      <w:r>
        <w:rPr>
          <w:rFonts w:ascii="宋体" w:eastAsia="宋体"/>
          <w:szCs w:val="21"/>
        </w:rPr>
        <w:t>1</w:t>
      </w:r>
      <w:r>
        <w:rPr>
          <w:rFonts w:hint="eastAsia" w:ascii="宋体" w:eastAsia="宋体"/>
          <w:szCs w:val="21"/>
        </w:rPr>
        <w:t>.1招标文件除以下内容外，采购代理机构在招标期间发出的澄清或修改等相关公告或通知内容，均是招标文件的组成部分，对投标人起约束作用；</w:t>
      </w:r>
    </w:p>
    <w:p w14:paraId="3FF1FD88">
      <w:pPr>
        <w:spacing w:line="360" w:lineRule="auto"/>
        <w:ind w:firstLine="411" w:firstLineChars="196"/>
        <w:rPr>
          <w:rFonts w:ascii="宋体" w:eastAsia="宋体"/>
          <w:szCs w:val="21"/>
        </w:rPr>
      </w:pPr>
      <w:r>
        <w:rPr>
          <w:rFonts w:hint="eastAsia" w:ascii="宋体" w:eastAsia="宋体"/>
          <w:szCs w:val="21"/>
        </w:rPr>
        <w:t>招标文件包括下列内容：</w:t>
      </w:r>
    </w:p>
    <w:p w14:paraId="331973ED">
      <w:pPr>
        <w:spacing w:line="360" w:lineRule="auto"/>
        <w:ind w:left="420" w:leftChars="200" w:firstLine="413" w:firstLineChars="196"/>
        <w:rPr>
          <w:rFonts w:ascii="宋体" w:eastAsia="宋体"/>
          <w:b/>
          <w:szCs w:val="21"/>
        </w:rPr>
      </w:pPr>
      <w:r>
        <w:rPr>
          <w:rFonts w:hint="eastAsia" w:ascii="宋体" w:eastAsia="宋体"/>
          <w:b/>
          <w:szCs w:val="21"/>
        </w:rPr>
        <w:t>第一册  专用条款</w:t>
      </w:r>
    </w:p>
    <w:p w14:paraId="554CF15C">
      <w:pPr>
        <w:spacing w:line="360" w:lineRule="auto"/>
        <w:ind w:left="1079" w:leftChars="514"/>
        <w:rPr>
          <w:rFonts w:ascii="宋体" w:eastAsia="宋体"/>
          <w:b/>
          <w:szCs w:val="21"/>
        </w:rPr>
      </w:pPr>
      <w:r>
        <w:rPr>
          <w:rFonts w:hint="eastAsia" w:ascii="宋体" w:eastAsia="宋体"/>
          <w:b/>
          <w:szCs w:val="21"/>
        </w:rPr>
        <w:t>关键信息</w:t>
      </w:r>
    </w:p>
    <w:p w14:paraId="2B662959">
      <w:pPr>
        <w:spacing w:line="360" w:lineRule="auto"/>
        <w:ind w:left="630" w:leftChars="300" w:firstLine="411" w:firstLineChars="196"/>
        <w:outlineLvl w:val="0"/>
        <w:rPr>
          <w:rFonts w:ascii="宋体" w:eastAsia="宋体"/>
          <w:szCs w:val="21"/>
        </w:rPr>
      </w:pPr>
      <w:r>
        <w:rPr>
          <w:rFonts w:hint="eastAsia" w:ascii="宋体" w:eastAsia="宋体"/>
          <w:szCs w:val="21"/>
        </w:rPr>
        <w:t>第一章  招标公告</w:t>
      </w:r>
    </w:p>
    <w:p w14:paraId="2E267BC7">
      <w:pPr>
        <w:spacing w:line="360" w:lineRule="auto"/>
        <w:ind w:left="630" w:leftChars="300" w:firstLine="411" w:firstLineChars="196"/>
        <w:outlineLvl w:val="0"/>
        <w:rPr>
          <w:rFonts w:ascii="宋体" w:eastAsia="宋体"/>
          <w:szCs w:val="21"/>
        </w:rPr>
      </w:pPr>
      <w:r>
        <w:rPr>
          <w:rFonts w:hint="eastAsia" w:ascii="宋体" w:eastAsia="宋体"/>
          <w:szCs w:val="21"/>
        </w:rPr>
        <w:t>第二章  对通用条款的补充内容及其他关键信息</w:t>
      </w:r>
    </w:p>
    <w:p w14:paraId="3F3E4843">
      <w:pPr>
        <w:spacing w:line="360" w:lineRule="auto"/>
        <w:ind w:left="630" w:leftChars="300" w:firstLine="411" w:firstLineChars="196"/>
        <w:outlineLvl w:val="0"/>
        <w:rPr>
          <w:rFonts w:ascii="宋体" w:eastAsia="宋体"/>
          <w:szCs w:val="21"/>
        </w:rPr>
      </w:pPr>
      <w:r>
        <w:rPr>
          <w:rFonts w:hint="eastAsia" w:ascii="宋体" w:eastAsia="宋体"/>
          <w:szCs w:val="21"/>
        </w:rPr>
        <w:t>第三章  用户需求书</w:t>
      </w:r>
    </w:p>
    <w:p w14:paraId="4B5960AE">
      <w:pPr>
        <w:spacing w:line="360" w:lineRule="auto"/>
        <w:ind w:left="630" w:leftChars="300" w:firstLine="411" w:firstLineChars="196"/>
        <w:outlineLvl w:val="0"/>
        <w:rPr>
          <w:rFonts w:ascii="宋体" w:eastAsia="宋体"/>
          <w:szCs w:val="21"/>
        </w:rPr>
      </w:pPr>
      <w:r>
        <w:rPr>
          <w:rFonts w:hint="eastAsia" w:ascii="宋体" w:eastAsia="宋体"/>
          <w:szCs w:val="21"/>
        </w:rPr>
        <w:t>第四章  投标文件格式及附件</w:t>
      </w:r>
    </w:p>
    <w:p w14:paraId="5A6A3610">
      <w:pPr>
        <w:spacing w:line="360" w:lineRule="auto"/>
        <w:ind w:left="630" w:leftChars="300" w:firstLine="411" w:firstLineChars="196"/>
        <w:outlineLvl w:val="0"/>
        <w:rPr>
          <w:rFonts w:ascii="宋体" w:eastAsia="宋体"/>
          <w:szCs w:val="21"/>
        </w:rPr>
      </w:pPr>
      <w:r>
        <w:rPr>
          <w:rFonts w:hint="eastAsia" w:ascii="宋体" w:eastAsia="宋体"/>
          <w:szCs w:val="21"/>
        </w:rPr>
        <w:t>第五章  合同条款及格式</w:t>
      </w:r>
    </w:p>
    <w:p w14:paraId="2D673BB9">
      <w:pPr>
        <w:spacing w:line="360" w:lineRule="auto"/>
        <w:ind w:left="420" w:leftChars="200" w:firstLine="413" w:firstLineChars="196"/>
        <w:outlineLvl w:val="0"/>
        <w:rPr>
          <w:rFonts w:ascii="宋体" w:eastAsia="宋体"/>
          <w:b/>
          <w:szCs w:val="21"/>
        </w:rPr>
      </w:pPr>
      <w:r>
        <w:rPr>
          <w:rFonts w:hint="eastAsia" w:ascii="宋体" w:eastAsia="宋体"/>
          <w:b/>
          <w:szCs w:val="21"/>
        </w:rPr>
        <w:t>第二册  通用条款</w:t>
      </w:r>
    </w:p>
    <w:p w14:paraId="3F943E9A">
      <w:pPr>
        <w:spacing w:line="360" w:lineRule="auto"/>
        <w:ind w:left="630" w:leftChars="300" w:firstLine="411" w:firstLineChars="196"/>
        <w:outlineLvl w:val="0"/>
        <w:rPr>
          <w:rFonts w:ascii="宋体" w:eastAsia="宋体"/>
          <w:szCs w:val="21"/>
        </w:rPr>
      </w:pPr>
      <w:r>
        <w:rPr>
          <w:rFonts w:hint="eastAsia" w:ascii="宋体" w:eastAsia="宋体"/>
          <w:szCs w:val="21"/>
        </w:rPr>
        <w:t>第一章  总则</w:t>
      </w:r>
    </w:p>
    <w:p w14:paraId="04FAD7C1">
      <w:pPr>
        <w:spacing w:line="360" w:lineRule="auto"/>
        <w:ind w:left="630" w:leftChars="300" w:firstLine="411" w:firstLineChars="196"/>
        <w:outlineLvl w:val="0"/>
        <w:rPr>
          <w:rFonts w:ascii="宋体" w:eastAsia="宋体"/>
          <w:szCs w:val="21"/>
        </w:rPr>
      </w:pPr>
      <w:r>
        <w:rPr>
          <w:rFonts w:hint="eastAsia" w:ascii="宋体" w:eastAsia="宋体"/>
          <w:szCs w:val="21"/>
        </w:rPr>
        <w:t>第二章  招标文件</w:t>
      </w:r>
    </w:p>
    <w:p w14:paraId="4E1B0173">
      <w:pPr>
        <w:spacing w:line="360" w:lineRule="auto"/>
        <w:ind w:left="630" w:leftChars="300" w:firstLine="411" w:firstLineChars="196"/>
        <w:outlineLvl w:val="0"/>
        <w:rPr>
          <w:rFonts w:ascii="宋体" w:eastAsia="宋体"/>
          <w:szCs w:val="21"/>
        </w:rPr>
      </w:pPr>
      <w:r>
        <w:rPr>
          <w:rFonts w:hint="eastAsia" w:ascii="宋体" w:eastAsia="宋体"/>
          <w:szCs w:val="21"/>
        </w:rPr>
        <w:t>第三章  投标文件的编制</w:t>
      </w:r>
    </w:p>
    <w:p w14:paraId="22FA9807">
      <w:pPr>
        <w:spacing w:line="360" w:lineRule="auto"/>
        <w:ind w:left="630" w:leftChars="300" w:firstLine="411" w:firstLineChars="196"/>
        <w:outlineLvl w:val="0"/>
        <w:rPr>
          <w:rFonts w:ascii="宋体" w:eastAsia="宋体"/>
          <w:szCs w:val="21"/>
        </w:rPr>
      </w:pPr>
      <w:r>
        <w:rPr>
          <w:rFonts w:hint="eastAsia" w:ascii="宋体" w:eastAsia="宋体"/>
          <w:szCs w:val="21"/>
        </w:rPr>
        <w:t>第四章  投标文件的递交</w:t>
      </w:r>
    </w:p>
    <w:p w14:paraId="72689417">
      <w:pPr>
        <w:spacing w:line="360" w:lineRule="auto"/>
        <w:ind w:left="630" w:leftChars="300" w:firstLine="411" w:firstLineChars="196"/>
        <w:outlineLvl w:val="0"/>
        <w:rPr>
          <w:rFonts w:ascii="宋体" w:eastAsia="宋体"/>
          <w:szCs w:val="21"/>
        </w:rPr>
      </w:pPr>
      <w:r>
        <w:rPr>
          <w:rFonts w:hint="eastAsia" w:ascii="宋体" w:eastAsia="宋体"/>
          <w:szCs w:val="21"/>
        </w:rPr>
        <w:t>第五章  开标</w:t>
      </w:r>
    </w:p>
    <w:p w14:paraId="0CE82D66">
      <w:pPr>
        <w:spacing w:line="360" w:lineRule="auto"/>
        <w:ind w:left="630" w:leftChars="300" w:firstLine="411" w:firstLineChars="196"/>
        <w:outlineLvl w:val="0"/>
        <w:rPr>
          <w:rFonts w:ascii="宋体" w:eastAsia="宋体"/>
          <w:szCs w:val="21"/>
        </w:rPr>
      </w:pPr>
      <w:r>
        <w:rPr>
          <w:rFonts w:hint="eastAsia" w:ascii="宋体" w:eastAsia="宋体"/>
          <w:szCs w:val="21"/>
        </w:rPr>
        <w:t>第六章  评审要求</w:t>
      </w:r>
    </w:p>
    <w:p w14:paraId="32540B90">
      <w:pPr>
        <w:spacing w:line="360" w:lineRule="auto"/>
        <w:ind w:left="630" w:leftChars="300" w:firstLine="411" w:firstLineChars="196"/>
        <w:outlineLvl w:val="0"/>
        <w:rPr>
          <w:rFonts w:ascii="宋体" w:eastAsia="宋体"/>
          <w:szCs w:val="21"/>
        </w:rPr>
      </w:pPr>
      <w:r>
        <w:rPr>
          <w:rFonts w:hint="eastAsia" w:ascii="宋体" w:eastAsia="宋体"/>
          <w:szCs w:val="21"/>
        </w:rPr>
        <w:t>第七章  评审程序及评审方法</w:t>
      </w:r>
    </w:p>
    <w:p w14:paraId="5D1A9A2F">
      <w:pPr>
        <w:spacing w:line="360" w:lineRule="auto"/>
        <w:ind w:left="630" w:leftChars="300" w:firstLine="411" w:firstLineChars="196"/>
        <w:outlineLvl w:val="0"/>
        <w:rPr>
          <w:rFonts w:ascii="宋体" w:eastAsia="宋体"/>
          <w:szCs w:val="21"/>
        </w:rPr>
      </w:pPr>
      <w:r>
        <w:rPr>
          <w:rFonts w:hint="eastAsia" w:ascii="宋体" w:eastAsia="宋体"/>
          <w:szCs w:val="21"/>
        </w:rPr>
        <w:t>第八章  定标及公示</w:t>
      </w:r>
    </w:p>
    <w:p w14:paraId="144866BD">
      <w:pPr>
        <w:spacing w:line="360" w:lineRule="auto"/>
        <w:ind w:left="630" w:leftChars="300" w:firstLine="411" w:firstLineChars="196"/>
        <w:outlineLvl w:val="0"/>
        <w:rPr>
          <w:rFonts w:ascii="宋体" w:eastAsia="宋体"/>
          <w:szCs w:val="21"/>
        </w:rPr>
      </w:pPr>
      <w:r>
        <w:rPr>
          <w:rFonts w:hint="eastAsia" w:ascii="宋体" w:eastAsia="宋体"/>
          <w:szCs w:val="21"/>
        </w:rPr>
        <w:t>第九章  公开招标失败的后续处理</w:t>
      </w:r>
    </w:p>
    <w:p w14:paraId="577C863E">
      <w:pPr>
        <w:spacing w:line="360" w:lineRule="auto"/>
        <w:ind w:left="630" w:leftChars="300" w:firstLine="411" w:firstLineChars="196"/>
        <w:outlineLvl w:val="0"/>
        <w:rPr>
          <w:rFonts w:ascii="宋体" w:eastAsia="宋体"/>
          <w:szCs w:val="21"/>
        </w:rPr>
      </w:pPr>
      <w:r>
        <w:rPr>
          <w:rFonts w:hint="eastAsia" w:ascii="宋体" w:eastAsia="宋体"/>
          <w:szCs w:val="21"/>
        </w:rPr>
        <w:t>第十章  合同的授予与备案</w:t>
      </w:r>
    </w:p>
    <w:p w14:paraId="26E19C29">
      <w:pPr>
        <w:spacing w:line="360" w:lineRule="auto"/>
        <w:ind w:left="630" w:leftChars="300" w:firstLine="411" w:firstLineChars="196"/>
        <w:outlineLvl w:val="0"/>
        <w:rPr>
          <w:rFonts w:ascii="宋体" w:eastAsia="宋体"/>
          <w:szCs w:val="21"/>
        </w:rPr>
      </w:pPr>
      <w:r>
        <w:rPr>
          <w:rFonts w:hint="eastAsia" w:ascii="宋体" w:eastAsia="宋体"/>
          <w:szCs w:val="21"/>
        </w:rPr>
        <w:t>第十一章  质疑处理</w:t>
      </w:r>
    </w:p>
    <w:p w14:paraId="2A5A9844">
      <w:pPr>
        <w:spacing w:line="360" w:lineRule="auto"/>
        <w:ind w:firstLine="411" w:firstLineChars="196"/>
        <w:rPr>
          <w:rFonts w:ascii="宋体" w:eastAsia="宋体"/>
          <w:szCs w:val="21"/>
        </w:rPr>
      </w:pPr>
      <w:r>
        <w:rPr>
          <w:rFonts w:hint="eastAsia" w:ascii="宋体" w:eastAsia="宋体"/>
          <w:szCs w:val="21"/>
        </w:rPr>
        <w:t>1</w:t>
      </w:r>
      <w:r>
        <w:rPr>
          <w:rFonts w:ascii="宋体" w:eastAsia="宋体"/>
          <w:szCs w:val="21"/>
        </w:rPr>
        <w:t>1</w:t>
      </w:r>
      <w:r>
        <w:rPr>
          <w:rFonts w:hint="eastAsia" w:ascii="宋体" w:eastAsia="宋体"/>
          <w:szCs w:val="21"/>
        </w:rPr>
        <w:t>.2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2952336C">
      <w:pPr>
        <w:spacing w:line="360" w:lineRule="auto"/>
        <w:ind w:firstLine="411" w:firstLineChars="196"/>
        <w:rPr>
          <w:rFonts w:ascii="宋体" w:eastAsia="宋体"/>
          <w:szCs w:val="21"/>
        </w:rPr>
      </w:pPr>
      <w:r>
        <w:rPr>
          <w:rFonts w:hint="eastAsia" w:ascii="宋体" w:eastAsia="宋体"/>
          <w:szCs w:val="21"/>
        </w:rPr>
        <w:t>1</w:t>
      </w:r>
      <w:r>
        <w:rPr>
          <w:rFonts w:ascii="宋体" w:eastAsia="宋体"/>
          <w:szCs w:val="21"/>
        </w:rPr>
        <w:t>1</w:t>
      </w:r>
      <w:r>
        <w:rPr>
          <w:rFonts w:hint="eastAsia" w:ascii="宋体" w:eastAsia="宋体"/>
          <w:szCs w:val="21"/>
        </w:rPr>
        <w:t>.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7B2FC4DD">
      <w:pPr>
        <w:spacing w:line="360" w:lineRule="auto"/>
        <w:rPr>
          <w:rFonts w:ascii="宋体" w:eastAsia="宋体"/>
          <w:b/>
          <w:bCs/>
          <w:szCs w:val="21"/>
        </w:rPr>
      </w:pPr>
      <w:r>
        <w:rPr>
          <w:rFonts w:hint="eastAsia" w:ascii="宋体" w:eastAsia="宋体"/>
          <w:b/>
          <w:bCs/>
          <w:szCs w:val="21"/>
        </w:rPr>
        <w:t>1</w:t>
      </w:r>
      <w:r>
        <w:rPr>
          <w:rFonts w:ascii="宋体" w:eastAsia="宋体"/>
          <w:b/>
          <w:bCs/>
          <w:szCs w:val="21"/>
        </w:rPr>
        <w:t>2</w:t>
      </w:r>
      <w:r>
        <w:rPr>
          <w:rFonts w:hint="eastAsia" w:ascii="宋体" w:eastAsia="宋体"/>
          <w:b/>
          <w:bCs/>
          <w:szCs w:val="21"/>
        </w:rPr>
        <w:t>．招标文件的澄清</w:t>
      </w:r>
    </w:p>
    <w:p w14:paraId="00A9A9CC">
      <w:pPr>
        <w:spacing w:line="360" w:lineRule="auto"/>
        <w:ind w:firstLine="411" w:firstLineChars="196"/>
        <w:rPr>
          <w:rFonts w:ascii="宋体" w:eastAsia="宋体"/>
          <w:szCs w:val="21"/>
        </w:rPr>
      </w:pPr>
      <w:r>
        <w:rPr>
          <w:rFonts w:hint="eastAsia" w:ascii="宋体" w:eastAsia="宋体"/>
          <w:szCs w:val="21"/>
        </w:rPr>
        <w:t>1</w:t>
      </w:r>
      <w:r>
        <w:rPr>
          <w:rFonts w:ascii="宋体" w:eastAsia="宋体"/>
          <w:szCs w:val="21"/>
        </w:rPr>
        <w:t>2</w:t>
      </w:r>
      <w:r>
        <w:rPr>
          <w:rFonts w:hint="eastAsia" w:ascii="宋体" w:eastAsia="宋体"/>
          <w:szCs w:val="21"/>
        </w:rPr>
        <w:t>.1招标文件澄清的目的是澄清、解答投标人在查阅招标文件后或现场踏勘中可能提出的与投标有关的疑问或询问。</w:t>
      </w:r>
    </w:p>
    <w:p w14:paraId="6991D167">
      <w:pPr>
        <w:spacing w:line="360" w:lineRule="auto"/>
        <w:ind w:firstLine="411" w:firstLineChars="196"/>
        <w:rPr>
          <w:rFonts w:ascii="宋体" w:eastAsia="宋体"/>
          <w:szCs w:val="21"/>
        </w:rPr>
      </w:pPr>
      <w:r>
        <w:rPr>
          <w:rFonts w:hint="eastAsia" w:ascii="宋体" w:eastAsia="宋体"/>
          <w:szCs w:val="21"/>
        </w:rPr>
        <w:t>1</w:t>
      </w:r>
      <w:r>
        <w:rPr>
          <w:rFonts w:ascii="宋体" w:eastAsia="宋体"/>
          <w:szCs w:val="21"/>
        </w:rPr>
        <w:t>2</w:t>
      </w:r>
      <w:r>
        <w:rPr>
          <w:rFonts w:hint="eastAsia" w:ascii="宋体" w:eastAsia="宋体"/>
          <w:szCs w:val="21"/>
        </w:rPr>
        <w:t>.2投标人如对招标文件内容有疑问，应当在招标公告规定的澄清（提问）截止时间前以网上提问的形式通过网上政府采购系统提交采购代理机构。</w:t>
      </w:r>
    </w:p>
    <w:p w14:paraId="4440DB16">
      <w:pPr>
        <w:spacing w:line="360" w:lineRule="auto"/>
        <w:ind w:firstLine="411" w:firstLineChars="196"/>
        <w:rPr>
          <w:rFonts w:ascii="宋体" w:eastAsia="宋体"/>
          <w:szCs w:val="21"/>
        </w:rPr>
      </w:pPr>
      <w:r>
        <w:rPr>
          <w:rFonts w:hint="eastAsia" w:ascii="宋体" w:eastAsia="宋体"/>
          <w:szCs w:val="21"/>
        </w:rPr>
        <w:t>1</w:t>
      </w:r>
      <w:r>
        <w:rPr>
          <w:rFonts w:ascii="宋体" w:eastAsia="宋体"/>
          <w:szCs w:val="21"/>
        </w:rPr>
        <w:t>2</w:t>
      </w:r>
      <w:r>
        <w:rPr>
          <w:rFonts w:hint="eastAsia" w:ascii="宋体" w:eastAsia="宋体"/>
          <w:szCs w:val="21"/>
        </w:rPr>
        <w:t>.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w:t>
      </w:r>
      <w:r>
        <w:rPr>
          <w:rFonts w:ascii="宋体" w:eastAsia="宋体"/>
          <w:szCs w:val="21"/>
        </w:rPr>
        <w:t>3.3</w:t>
      </w:r>
      <w:r>
        <w:rPr>
          <w:rFonts w:hint="eastAsia" w:ascii="宋体" w:eastAsia="宋体"/>
          <w:szCs w:val="21"/>
        </w:rPr>
        <w:t>、1</w:t>
      </w:r>
      <w:r>
        <w:rPr>
          <w:rFonts w:ascii="宋体" w:eastAsia="宋体"/>
          <w:szCs w:val="21"/>
        </w:rPr>
        <w:t>3.4</w:t>
      </w:r>
      <w:r>
        <w:rPr>
          <w:rFonts w:hint="eastAsia" w:ascii="宋体" w:eastAsia="宋体"/>
          <w:szCs w:val="21"/>
        </w:rPr>
        <w:t>款规定执行。</w:t>
      </w:r>
    </w:p>
    <w:p w14:paraId="05491330">
      <w:pPr>
        <w:spacing w:line="360" w:lineRule="auto"/>
        <w:rPr>
          <w:rFonts w:ascii="宋体" w:eastAsia="宋体"/>
          <w:b/>
          <w:bCs/>
          <w:szCs w:val="21"/>
        </w:rPr>
      </w:pPr>
      <w:r>
        <w:rPr>
          <w:rFonts w:ascii="宋体" w:eastAsia="宋体"/>
          <w:b/>
          <w:bCs/>
          <w:szCs w:val="21"/>
        </w:rPr>
        <w:t>1</w:t>
      </w:r>
      <w:r>
        <w:rPr>
          <w:rFonts w:hint="eastAsia" w:ascii="宋体" w:eastAsia="宋体"/>
          <w:b/>
          <w:bCs/>
          <w:szCs w:val="21"/>
        </w:rPr>
        <w:t>3．招标文件的修改</w:t>
      </w:r>
    </w:p>
    <w:p w14:paraId="63C579AC">
      <w:pPr>
        <w:spacing w:line="360" w:lineRule="auto"/>
        <w:ind w:firstLine="411" w:firstLineChars="196"/>
        <w:rPr>
          <w:rFonts w:ascii="宋体" w:eastAsia="宋体"/>
          <w:szCs w:val="21"/>
        </w:rPr>
      </w:pPr>
      <w:r>
        <w:rPr>
          <w:rFonts w:ascii="宋体" w:eastAsia="宋体"/>
          <w:szCs w:val="21"/>
        </w:rPr>
        <w:t>1</w:t>
      </w:r>
      <w:r>
        <w:rPr>
          <w:rFonts w:hint="eastAsia" w:ascii="宋体" w:eastAsia="宋体"/>
          <w:szCs w:val="21"/>
        </w:rPr>
        <w:t>3.1招标文件发出后，在投标截止日期前任何时候，确需要变更招标文件内容的，采购代理机构可主动或在解答投标人提出的澄清问题时对招标文件进行修改。</w:t>
      </w:r>
    </w:p>
    <w:p w14:paraId="4FEF5CF5">
      <w:pPr>
        <w:spacing w:line="360" w:lineRule="auto"/>
        <w:ind w:firstLine="411" w:firstLineChars="196"/>
        <w:rPr>
          <w:rFonts w:ascii="宋体" w:eastAsia="宋体"/>
          <w:szCs w:val="21"/>
        </w:rPr>
      </w:pPr>
      <w:r>
        <w:rPr>
          <w:rFonts w:ascii="宋体" w:eastAsia="宋体"/>
          <w:szCs w:val="21"/>
        </w:rPr>
        <w:t>1</w:t>
      </w:r>
      <w:r>
        <w:rPr>
          <w:rFonts w:hint="eastAsia" w:ascii="宋体" w:eastAsia="宋体"/>
          <w:szCs w:val="21"/>
        </w:rPr>
        <w:t>3.2招标文件的修改以书面形式（包括采购代理机构网站发布方式，如更正公告等）发送给所有投标人，招标文件的修改内容作为招标文件的组成部分，并具有约束力。</w:t>
      </w:r>
    </w:p>
    <w:p w14:paraId="6167AFBD">
      <w:pPr>
        <w:spacing w:line="360" w:lineRule="auto"/>
        <w:ind w:firstLine="411" w:firstLineChars="196"/>
        <w:rPr>
          <w:rFonts w:ascii="宋体" w:eastAsia="宋体"/>
          <w:szCs w:val="21"/>
        </w:rPr>
      </w:pPr>
      <w:r>
        <w:rPr>
          <w:rFonts w:ascii="宋体" w:eastAsia="宋体"/>
          <w:szCs w:val="21"/>
        </w:rPr>
        <w:t>1</w:t>
      </w:r>
      <w:r>
        <w:rPr>
          <w:rFonts w:hint="eastAsia" w:ascii="宋体" w:eastAsia="宋体"/>
          <w:szCs w:val="21"/>
        </w:rPr>
        <w:t>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2023ED93">
      <w:pPr>
        <w:spacing w:line="360" w:lineRule="auto"/>
        <w:ind w:firstLine="411" w:firstLineChars="196"/>
        <w:rPr>
          <w:rFonts w:ascii="宋体" w:eastAsia="宋体"/>
          <w:szCs w:val="21"/>
        </w:rPr>
      </w:pPr>
      <w:r>
        <w:rPr>
          <w:rFonts w:ascii="宋体" w:eastAsia="宋体"/>
          <w:szCs w:val="21"/>
        </w:rPr>
        <w:t>1</w:t>
      </w:r>
      <w:r>
        <w:rPr>
          <w:rFonts w:hint="eastAsia" w:ascii="宋体" w:eastAsia="宋体"/>
          <w:szCs w:val="21"/>
        </w:rPr>
        <w:t>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49"/>
    </w:p>
    <w:p w14:paraId="4FFB6E4D">
      <w:pPr>
        <w:pStyle w:val="5"/>
        <w:widowControl/>
        <w:numPr>
          <w:ilvl w:val="0"/>
          <w:numId w:val="14"/>
        </w:numPr>
        <w:spacing w:before="120" w:beforeLines="50" w:after="120" w:afterLines="50" w:line="360" w:lineRule="auto"/>
        <w:ind w:left="562" w:hanging="562"/>
        <w:rPr>
          <w:rFonts w:ascii="宋体" w:eastAsia="宋体"/>
          <w:sz w:val="28"/>
          <w:szCs w:val="28"/>
        </w:rPr>
      </w:pPr>
      <w:r>
        <w:rPr>
          <w:rFonts w:hint="eastAsia" w:ascii="宋体" w:eastAsia="宋体"/>
          <w:sz w:val="28"/>
          <w:szCs w:val="28"/>
        </w:rPr>
        <w:t>投标文件的编制</w:t>
      </w:r>
    </w:p>
    <w:p w14:paraId="2CAAF543">
      <w:pPr>
        <w:spacing w:line="360" w:lineRule="auto"/>
        <w:rPr>
          <w:rFonts w:ascii="宋体" w:eastAsia="宋体"/>
          <w:b/>
          <w:bCs/>
          <w:szCs w:val="21"/>
        </w:rPr>
      </w:pPr>
      <w:r>
        <w:rPr>
          <w:rFonts w:hint="eastAsia" w:ascii="宋体" w:eastAsia="宋体"/>
          <w:b/>
          <w:bCs/>
          <w:szCs w:val="21"/>
        </w:rPr>
        <w:t>14．</w:t>
      </w:r>
      <w:bookmarkStart w:id="50" w:name="_Hlk72400236"/>
      <w:r>
        <w:rPr>
          <w:rFonts w:hint="eastAsia" w:ascii="宋体" w:eastAsia="宋体"/>
          <w:b/>
          <w:bCs/>
          <w:szCs w:val="21"/>
        </w:rPr>
        <w:t>投标文件的语言及度量单位</w:t>
      </w:r>
    </w:p>
    <w:p w14:paraId="6CADDC35">
      <w:pPr>
        <w:spacing w:line="360" w:lineRule="auto"/>
        <w:ind w:firstLine="411" w:firstLineChars="196"/>
        <w:rPr>
          <w:rFonts w:ascii="宋体" w:eastAsia="宋体"/>
          <w:szCs w:val="21"/>
        </w:rPr>
      </w:pPr>
      <w:r>
        <w:rPr>
          <w:rFonts w:hint="eastAsia" w:ascii="宋体" w:eastAsia="宋体"/>
          <w:szCs w:val="2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29ADF441">
      <w:pPr>
        <w:spacing w:line="360" w:lineRule="auto"/>
        <w:ind w:firstLine="411" w:firstLineChars="196"/>
        <w:rPr>
          <w:rFonts w:ascii="宋体" w:eastAsia="宋体"/>
          <w:szCs w:val="21"/>
        </w:rPr>
      </w:pPr>
      <w:r>
        <w:rPr>
          <w:rFonts w:hint="eastAsia" w:ascii="宋体" w:eastAsia="宋体"/>
          <w:szCs w:val="21"/>
        </w:rPr>
        <w:t>14.2 除技术规范另有规定外，投标文件使用的度量单位，均采用中华人民共和国法定计量单位。</w:t>
      </w:r>
    </w:p>
    <w:bookmarkEnd w:id="50"/>
    <w:p w14:paraId="5161F6CF">
      <w:pPr>
        <w:spacing w:line="360" w:lineRule="auto"/>
        <w:rPr>
          <w:rFonts w:ascii="宋体" w:eastAsia="宋体"/>
          <w:b/>
          <w:bCs/>
          <w:szCs w:val="21"/>
        </w:rPr>
      </w:pPr>
      <w:r>
        <w:rPr>
          <w:rFonts w:hint="eastAsia" w:ascii="宋体" w:eastAsia="宋体"/>
          <w:b/>
          <w:bCs/>
          <w:szCs w:val="21"/>
        </w:rPr>
        <w:t>15．</w:t>
      </w:r>
      <w:bookmarkStart w:id="51" w:name="_Hlk72401567"/>
      <w:r>
        <w:rPr>
          <w:rFonts w:hint="eastAsia" w:ascii="宋体" w:eastAsia="宋体"/>
          <w:b/>
          <w:bCs/>
          <w:szCs w:val="21"/>
        </w:rPr>
        <w:t>投标文件的组成</w:t>
      </w:r>
    </w:p>
    <w:p w14:paraId="534CA572">
      <w:pPr>
        <w:spacing w:line="360" w:lineRule="auto"/>
        <w:ind w:firstLine="411" w:firstLineChars="196"/>
        <w:rPr>
          <w:rFonts w:ascii="宋体" w:eastAsia="宋体"/>
          <w:szCs w:val="21"/>
        </w:rPr>
      </w:pPr>
      <w:r>
        <w:rPr>
          <w:rFonts w:hint="eastAsia" w:ascii="宋体" w:eastAsia="宋体"/>
          <w:szCs w:val="21"/>
        </w:rPr>
        <w:t>具体内容在招标文件专用条款中进行规定。</w:t>
      </w:r>
    </w:p>
    <w:p w14:paraId="427CC13E">
      <w:pPr>
        <w:spacing w:line="360" w:lineRule="auto"/>
        <w:rPr>
          <w:rFonts w:ascii="宋体" w:eastAsia="宋体"/>
          <w:b/>
          <w:bCs/>
          <w:szCs w:val="21"/>
        </w:rPr>
      </w:pPr>
      <w:r>
        <w:rPr>
          <w:rFonts w:ascii="宋体" w:eastAsia="宋体"/>
          <w:b/>
          <w:bCs/>
          <w:szCs w:val="21"/>
        </w:rPr>
        <w:t>16．投标文件格式</w:t>
      </w:r>
    </w:p>
    <w:p w14:paraId="59FB1698">
      <w:pPr>
        <w:spacing w:line="360" w:lineRule="auto"/>
        <w:ind w:firstLine="411" w:firstLineChars="196"/>
        <w:rPr>
          <w:rFonts w:ascii="宋体" w:eastAsia="宋体"/>
          <w:szCs w:val="21"/>
        </w:rPr>
      </w:pPr>
      <w:r>
        <w:rPr>
          <w:rFonts w:hint="eastAsia" w:ascii="宋体" w:eastAsia="宋体"/>
          <w:szCs w:val="21"/>
        </w:rPr>
        <w:t>投标文件包括本通用条款第</w:t>
      </w:r>
      <w:r>
        <w:rPr>
          <w:rFonts w:ascii="宋体" w:eastAsia="宋体"/>
          <w:szCs w:val="21"/>
        </w:rPr>
        <w:t>15条中规定的内容。如招标文件提供了投标文件格式，则</w:t>
      </w:r>
      <w:r>
        <w:rPr>
          <w:rFonts w:hint="eastAsia" w:ascii="宋体" w:eastAsia="宋体"/>
          <w:b/>
          <w:bCs/>
          <w:szCs w:val="21"/>
        </w:rPr>
        <w:t>投标人提交的投标文件应使用招标文件所提供的相应格式</w:t>
      </w:r>
      <w:r>
        <w:rPr>
          <w:rFonts w:hint="eastAsia" w:ascii="宋体" w:eastAsia="宋体"/>
          <w:szCs w:val="21"/>
        </w:rPr>
        <w:t>（表格均可按同样格式扩展）。</w:t>
      </w:r>
    </w:p>
    <w:p w14:paraId="79F69ADB">
      <w:pPr>
        <w:spacing w:line="360" w:lineRule="auto"/>
        <w:rPr>
          <w:rFonts w:ascii="宋体" w:eastAsia="宋体"/>
          <w:b/>
          <w:bCs/>
          <w:szCs w:val="21"/>
        </w:rPr>
      </w:pPr>
      <w:r>
        <w:rPr>
          <w:rFonts w:hint="eastAsia" w:ascii="宋体" w:eastAsia="宋体"/>
          <w:b/>
          <w:bCs/>
          <w:szCs w:val="21"/>
        </w:rPr>
        <w:t>17．投标货币</w:t>
      </w:r>
    </w:p>
    <w:p w14:paraId="3C986E44">
      <w:pPr>
        <w:spacing w:line="360" w:lineRule="auto"/>
        <w:ind w:firstLine="411" w:firstLineChars="196"/>
        <w:rPr>
          <w:rFonts w:ascii="宋体" w:eastAsia="宋体"/>
          <w:szCs w:val="21"/>
        </w:rPr>
      </w:pPr>
      <w:r>
        <w:rPr>
          <w:rFonts w:hint="eastAsia" w:ascii="宋体" w:eastAsia="宋体"/>
          <w:szCs w:val="21"/>
        </w:rPr>
        <w:t>本项目的投标报价应以人民币计。</w:t>
      </w:r>
    </w:p>
    <w:bookmarkEnd w:id="51"/>
    <w:p w14:paraId="7452E3F5">
      <w:pPr>
        <w:spacing w:line="360" w:lineRule="auto"/>
        <w:rPr>
          <w:rFonts w:ascii="宋体" w:eastAsia="宋体"/>
          <w:b/>
          <w:bCs/>
          <w:szCs w:val="21"/>
        </w:rPr>
      </w:pPr>
      <w:r>
        <w:rPr>
          <w:rFonts w:hint="eastAsia" w:ascii="宋体" w:eastAsia="宋体"/>
          <w:b/>
          <w:bCs/>
          <w:szCs w:val="21"/>
        </w:rPr>
        <w:t>18．</w:t>
      </w:r>
      <w:bookmarkStart w:id="52" w:name="_Hlk72401735"/>
      <w:r>
        <w:rPr>
          <w:rFonts w:hint="eastAsia" w:ascii="宋体" w:eastAsia="宋体"/>
          <w:b/>
          <w:bCs/>
          <w:szCs w:val="21"/>
        </w:rPr>
        <w:t>证明投标文件投标技术方案的合格性和符合招标文件规定的文件要求</w:t>
      </w:r>
    </w:p>
    <w:p w14:paraId="1BC08B32">
      <w:pPr>
        <w:spacing w:line="360" w:lineRule="auto"/>
        <w:ind w:firstLine="411" w:firstLineChars="196"/>
        <w:rPr>
          <w:rFonts w:ascii="宋体" w:eastAsia="宋体"/>
          <w:szCs w:val="21"/>
        </w:rPr>
      </w:pPr>
      <w:r>
        <w:rPr>
          <w:rFonts w:hint="eastAsia" w:ascii="宋体" w:eastAsia="宋体"/>
          <w:szCs w:val="21"/>
        </w:rPr>
        <w:t>18</w:t>
      </w:r>
      <w:r>
        <w:rPr>
          <w:rFonts w:ascii="宋体" w:eastAsia="宋体"/>
          <w:szCs w:val="21"/>
        </w:rPr>
        <w:t xml:space="preserve">.1 </w:t>
      </w:r>
      <w:r>
        <w:rPr>
          <w:rFonts w:hint="eastAsia" w:ascii="宋体" w:eastAsia="宋体"/>
          <w:szCs w:val="21"/>
        </w:rPr>
        <w:t>投标人应提交证明文件，证明其投标技术方案项下的货物和服务的合格性符合招标文件规定。该投标技术方案及其证明文件均作为投标文件组成部分。</w:t>
      </w:r>
    </w:p>
    <w:p w14:paraId="018CEF64">
      <w:pPr>
        <w:spacing w:line="360" w:lineRule="auto"/>
        <w:ind w:firstLine="411" w:firstLineChars="196"/>
        <w:rPr>
          <w:rFonts w:ascii="宋体" w:eastAsia="宋体"/>
          <w:szCs w:val="21"/>
        </w:rPr>
      </w:pPr>
      <w:r>
        <w:rPr>
          <w:rFonts w:ascii="宋体" w:eastAsia="宋体"/>
          <w:szCs w:val="21"/>
        </w:rPr>
        <w:t>1</w:t>
      </w:r>
      <w:r>
        <w:rPr>
          <w:rFonts w:hint="eastAsia" w:ascii="宋体" w:eastAsia="宋体"/>
          <w:szCs w:val="21"/>
        </w:rPr>
        <w:t>8</w:t>
      </w:r>
      <w:r>
        <w:rPr>
          <w:rFonts w:ascii="宋体" w:eastAsia="宋体"/>
          <w:szCs w:val="21"/>
        </w:rPr>
        <w:t xml:space="preserve">.2 </w:t>
      </w:r>
      <w:r>
        <w:rPr>
          <w:rFonts w:hint="eastAsia" w:ascii="宋体" w:eastAsia="宋体"/>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7BC66A12">
      <w:pPr>
        <w:spacing w:line="360" w:lineRule="auto"/>
        <w:ind w:firstLine="411" w:firstLineChars="196"/>
        <w:rPr>
          <w:rFonts w:ascii="宋体" w:eastAsia="宋体"/>
          <w:szCs w:val="21"/>
        </w:rPr>
      </w:pPr>
      <w:r>
        <w:rPr>
          <w:rFonts w:hint="eastAsia" w:ascii="宋体" w:eastAsia="宋体"/>
          <w:szCs w:val="21"/>
        </w:rPr>
        <w:t>18.2.1主要技术指标和性能的详细说明。</w:t>
      </w:r>
    </w:p>
    <w:p w14:paraId="7E815A1B">
      <w:pPr>
        <w:spacing w:line="360" w:lineRule="auto"/>
        <w:ind w:firstLine="411" w:firstLineChars="196"/>
        <w:rPr>
          <w:rFonts w:ascii="宋体" w:eastAsia="宋体"/>
          <w:szCs w:val="21"/>
        </w:rPr>
      </w:pPr>
      <w:r>
        <w:rPr>
          <w:rFonts w:hint="eastAsia" w:ascii="宋体" w:eastAsia="宋体"/>
          <w:szCs w:val="21"/>
        </w:rPr>
        <w:t>18.2.</w:t>
      </w:r>
      <w:r>
        <w:rPr>
          <w:rFonts w:ascii="宋体" w:eastAsia="宋体"/>
          <w:szCs w:val="21"/>
        </w:rPr>
        <w:t>2</w:t>
      </w:r>
      <w:r>
        <w:rPr>
          <w:rFonts w:hint="eastAsia" w:ascii="宋体" w:eastAsia="宋体"/>
          <w:szCs w:val="21"/>
        </w:rPr>
        <w:t>投标产品从采购人开始使用至招标文件中规定的周期内正常、连续地使用所必须的备件和专用工具清单，包括备件和专用工具的货源及现行价格。</w:t>
      </w:r>
    </w:p>
    <w:p w14:paraId="2D7A0C74">
      <w:pPr>
        <w:spacing w:line="360" w:lineRule="auto"/>
        <w:ind w:firstLine="411" w:firstLineChars="196"/>
        <w:rPr>
          <w:rFonts w:ascii="宋体" w:eastAsia="宋体"/>
          <w:szCs w:val="21"/>
        </w:rPr>
      </w:pPr>
      <w:r>
        <w:rPr>
          <w:rFonts w:hint="eastAsia" w:ascii="宋体" w:eastAsia="宋体"/>
          <w:szCs w:val="21"/>
        </w:rPr>
        <w:t>18.2.</w:t>
      </w:r>
      <w:r>
        <w:rPr>
          <w:rFonts w:ascii="宋体" w:eastAsia="宋体"/>
          <w:szCs w:val="21"/>
        </w:rPr>
        <w:t>3</w:t>
      </w:r>
      <w:r>
        <w:rPr>
          <w:rFonts w:hint="eastAsia" w:ascii="宋体" w:eastAsia="宋体"/>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3F74A5B5">
      <w:pPr>
        <w:spacing w:line="360" w:lineRule="auto"/>
        <w:ind w:firstLine="411" w:firstLineChars="196"/>
        <w:rPr>
          <w:rFonts w:ascii="宋体" w:eastAsia="宋体"/>
          <w:szCs w:val="21"/>
        </w:rPr>
      </w:pPr>
      <w:r>
        <w:rPr>
          <w:rFonts w:hint="eastAsia" w:ascii="宋体" w:eastAsia="宋体"/>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1F82CFB6">
      <w:pPr>
        <w:spacing w:line="360" w:lineRule="auto"/>
        <w:ind w:firstLine="411" w:firstLineChars="196"/>
        <w:rPr>
          <w:rFonts w:ascii="宋体" w:eastAsia="宋体"/>
          <w:szCs w:val="21"/>
        </w:rPr>
      </w:pPr>
      <w:r>
        <w:rPr>
          <w:rFonts w:hint="eastAsia" w:ascii="宋体" w:eastAsia="宋体"/>
          <w:szCs w:val="21"/>
        </w:rPr>
        <w:t>18.2.5我国政府机构出具的产品检验和核准证件应为证件正面、背面和附件标注的全部具体内容；产品检验和核准证件的尺寸和清晰度应该能够在电脑上被阅读、识别和判断，提供原件扫描件。</w:t>
      </w:r>
    </w:p>
    <w:p w14:paraId="25E42B13">
      <w:pPr>
        <w:spacing w:line="360" w:lineRule="auto"/>
        <w:ind w:firstLine="411" w:firstLineChars="196"/>
        <w:rPr>
          <w:rFonts w:ascii="宋体" w:eastAsia="宋体"/>
          <w:szCs w:val="21"/>
        </w:rPr>
      </w:pPr>
      <w:r>
        <w:rPr>
          <w:rFonts w:hint="eastAsia" w:ascii="宋体" w:eastAsia="宋体"/>
          <w:szCs w:val="21"/>
        </w:rPr>
        <w:t>18.3相关资料不符合18.2款要求的，评审委员会有权认定为投标技术方案不合格响应，其相关分数予以扣减或作投标无效处理。</w:t>
      </w:r>
    </w:p>
    <w:p w14:paraId="474D513D">
      <w:pPr>
        <w:spacing w:line="360" w:lineRule="auto"/>
        <w:ind w:firstLine="411" w:firstLineChars="196"/>
        <w:rPr>
          <w:rFonts w:ascii="宋体" w:eastAsia="宋体"/>
          <w:szCs w:val="21"/>
        </w:rPr>
      </w:pPr>
      <w:r>
        <w:rPr>
          <w:rFonts w:ascii="宋体" w:eastAsia="宋体"/>
          <w:szCs w:val="21"/>
        </w:rPr>
        <w:t>1</w:t>
      </w:r>
      <w:r>
        <w:rPr>
          <w:rFonts w:hint="eastAsia" w:ascii="宋体" w:eastAsia="宋体"/>
          <w:szCs w:val="21"/>
        </w:rPr>
        <w:t>8</w:t>
      </w:r>
      <w:r>
        <w:rPr>
          <w:rFonts w:ascii="宋体" w:eastAsia="宋体"/>
          <w:szCs w:val="21"/>
        </w:rPr>
        <w:t>.</w:t>
      </w:r>
      <w:r>
        <w:rPr>
          <w:rFonts w:hint="eastAsia" w:ascii="宋体" w:eastAsia="宋体"/>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5180011B">
      <w:pPr>
        <w:spacing w:line="360" w:lineRule="auto"/>
        <w:ind w:firstLine="411" w:firstLineChars="196"/>
        <w:rPr>
          <w:rFonts w:ascii="宋体" w:eastAsia="宋体"/>
          <w:szCs w:val="21"/>
        </w:rPr>
      </w:pPr>
      <w:r>
        <w:rPr>
          <w:rFonts w:hint="eastAsia" w:ascii="宋体" w:eastAsia="宋体"/>
          <w:szCs w:val="21"/>
        </w:rPr>
        <w:t>18.5除非另有规定或说明，投标人对同一项目投标时，不得同时提供两套或两套以上的投标方案。</w:t>
      </w:r>
    </w:p>
    <w:bookmarkEnd w:id="52"/>
    <w:p w14:paraId="51D87256">
      <w:pPr>
        <w:spacing w:line="360" w:lineRule="auto"/>
        <w:rPr>
          <w:rFonts w:ascii="宋体" w:eastAsia="宋体"/>
          <w:b/>
          <w:bCs/>
          <w:szCs w:val="21"/>
        </w:rPr>
      </w:pPr>
      <w:r>
        <w:rPr>
          <w:rFonts w:hint="eastAsia" w:ascii="宋体" w:eastAsia="宋体"/>
          <w:b/>
          <w:bCs/>
          <w:szCs w:val="21"/>
        </w:rPr>
        <w:t>19．</w:t>
      </w:r>
      <w:bookmarkStart w:id="53" w:name="_Hlk72402034"/>
      <w:r>
        <w:rPr>
          <w:rFonts w:hint="eastAsia" w:ascii="宋体" w:eastAsia="宋体"/>
          <w:b/>
          <w:bCs/>
          <w:szCs w:val="21"/>
        </w:rPr>
        <w:t>投标文件其他证明文件的要求</w:t>
      </w:r>
    </w:p>
    <w:p w14:paraId="256F0715">
      <w:pPr>
        <w:spacing w:line="360" w:lineRule="auto"/>
        <w:ind w:firstLine="420" w:firstLineChars="200"/>
        <w:rPr>
          <w:rFonts w:ascii="宋体" w:eastAsia="宋体"/>
          <w:szCs w:val="21"/>
        </w:rPr>
      </w:pPr>
      <w:r>
        <w:rPr>
          <w:rFonts w:hint="eastAsia" w:ascii="宋体" w:eastAsia="宋体"/>
          <w:szCs w:val="21"/>
        </w:rPr>
        <w:t>19.1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54" w:name="_Hlk71407299"/>
    </w:p>
    <w:bookmarkEnd w:id="54"/>
    <w:p w14:paraId="60C342F0">
      <w:pPr>
        <w:spacing w:line="360" w:lineRule="auto"/>
        <w:ind w:firstLine="411" w:firstLineChars="196"/>
        <w:rPr>
          <w:rFonts w:ascii="宋体" w:eastAsia="宋体"/>
          <w:szCs w:val="21"/>
        </w:rPr>
      </w:pPr>
      <w:r>
        <w:rPr>
          <w:rFonts w:hint="eastAsia" w:ascii="宋体" w:eastAsia="宋体"/>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41419D99">
      <w:pPr>
        <w:spacing w:line="360" w:lineRule="auto"/>
        <w:rPr>
          <w:rFonts w:ascii="宋体" w:eastAsia="宋体"/>
          <w:b/>
          <w:bCs/>
          <w:szCs w:val="21"/>
        </w:rPr>
      </w:pPr>
      <w:r>
        <w:rPr>
          <w:rFonts w:hint="eastAsia" w:ascii="宋体" w:eastAsia="宋体"/>
          <w:b/>
          <w:bCs/>
          <w:szCs w:val="21"/>
        </w:rPr>
        <w:t>20．投标有效期</w:t>
      </w:r>
    </w:p>
    <w:bookmarkEnd w:id="53"/>
    <w:p w14:paraId="3D85E44F">
      <w:pPr>
        <w:spacing w:line="360" w:lineRule="auto"/>
        <w:ind w:firstLine="411" w:firstLineChars="196"/>
        <w:rPr>
          <w:rFonts w:ascii="宋体" w:eastAsia="宋体"/>
          <w:szCs w:val="21"/>
        </w:rPr>
      </w:pPr>
      <w:bookmarkStart w:id="55" w:name="_Hlk72402214"/>
      <w:r>
        <w:rPr>
          <w:rFonts w:hint="eastAsia" w:ascii="宋体" w:eastAsia="宋体"/>
          <w:szCs w:val="21"/>
        </w:rPr>
        <w:t>20.1 投标有效期为</w:t>
      </w:r>
      <w:r>
        <w:rPr>
          <w:rFonts w:hint="eastAsia" w:ascii="宋体" w:eastAsia="宋体" w:cs="Arial"/>
          <w:szCs w:val="21"/>
        </w:rPr>
        <w:t>从投标截止之日算起的日历天数。</w:t>
      </w:r>
      <w:r>
        <w:rPr>
          <w:rFonts w:hint="eastAsia" w:ascii="宋体" w:eastAsia="宋体"/>
          <w:szCs w:val="21"/>
        </w:rPr>
        <w:t>在此期限内，所有投标文件均保持有效。</w:t>
      </w:r>
    </w:p>
    <w:p w14:paraId="20025DB5">
      <w:pPr>
        <w:spacing w:line="360" w:lineRule="auto"/>
        <w:ind w:firstLine="411" w:firstLineChars="196"/>
        <w:rPr>
          <w:rFonts w:ascii="宋体" w:eastAsia="宋体"/>
          <w:szCs w:val="21"/>
        </w:rPr>
      </w:pPr>
      <w:r>
        <w:rPr>
          <w:rFonts w:hint="eastAsia" w:ascii="宋体" w:eastAsia="宋体"/>
          <w:szCs w:val="21"/>
        </w:rPr>
        <w:t>20.2 在特殊情况下，采购代理机构在原定的投标有效期满之前，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6781C24E">
      <w:pPr>
        <w:spacing w:line="360" w:lineRule="auto"/>
        <w:ind w:firstLine="411" w:firstLineChars="196"/>
        <w:rPr>
          <w:rFonts w:ascii="宋体" w:eastAsia="宋体"/>
          <w:szCs w:val="21"/>
        </w:rPr>
      </w:pPr>
      <w:r>
        <w:rPr>
          <w:rFonts w:hint="eastAsia" w:ascii="宋体" w:eastAsia="宋体"/>
          <w:szCs w:val="21"/>
        </w:rPr>
        <w:t>20</w:t>
      </w:r>
      <w:r>
        <w:rPr>
          <w:rFonts w:ascii="宋体" w:eastAsia="宋体"/>
          <w:szCs w:val="21"/>
        </w:rPr>
        <w:t>.3</w:t>
      </w:r>
      <w:r>
        <w:rPr>
          <w:rFonts w:hint="eastAsia" w:ascii="宋体" w:eastAsia="宋体"/>
          <w:szCs w:val="21"/>
        </w:rPr>
        <w:t xml:space="preserve"> 中标供应商的投标文件有效期，截止于完成本招标文件规定的全部项目内容，并通过竣工验收及保修期结束。</w:t>
      </w:r>
    </w:p>
    <w:bookmarkEnd w:id="55"/>
    <w:p w14:paraId="064D655F">
      <w:pPr>
        <w:spacing w:line="360" w:lineRule="auto"/>
        <w:rPr>
          <w:rFonts w:ascii="宋体" w:eastAsia="宋体"/>
          <w:szCs w:val="21"/>
        </w:rPr>
      </w:pPr>
      <w:r>
        <w:rPr>
          <w:rFonts w:hint="eastAsia" w:ascii="宋体" w:eastAsia="宋体"/>
          <w:szCs w:val="21"/>
        </w:rPr>
        <w:t>21．</w:t>
      </w:r>
      <w:bookmarkStart w:id="56" w:name="_Hlk72402325"/>
      <w:r>
        <w:rPr>
          <w:rFonts w:hint="eastAsia" w:ascii="宋体" w:eastAsia="宋体"/>
          <w:szCs w:val="21"/>
        </w:rPr>
        <w:t xml:space="preserve">关于投标保证金 </w:t>
      </w:r>
    </w:p>
    <w:p w14:paraId="6444C54C">
      <w:pPr>
        <w:spacing w:line="360" w:lineRule="auto"/>
        <w:rPr>
          <w:rFonts w:ascii="宋体" w:eastAsia="宋体"/>
          <w:szCs w:val="21"/>
        </w:rPr>
      </w:pPr>
      <w:r>
        <w:rPr>
          <w:rFonts w:hint="eastAsia" w:ascii="宋体" w:eastAsia="宋体"/>
          <w:szCs w:val="21"/>
        </w:rPr>
        <w:t xml:space="preserve">    21.1 根据《</w:t>
      </w:r>
      <w:r>
        <w:rPr>
          <w:rFonts w:ascii="宋体" w:eastAsia="宋体"/>
          <w:szCs w:val="21"/>
        </w:rPr>
        <w:t>深圳市财政局关于明确政府采购保证金管理工作的通知</w:t>
      </w:r>
      <w:r>
        <w:rPr>
          <w:rFonts w:hint="eastAsia" w:ascii="宋体" w:eastAsia="宋体"/>
          <w:szCs w:val="21"/>
        </w:rPr>
        <w:t>》（深财购[</w:t>
      </w:r>
      <w:r>
        <w:rPr>
          <w:rFonts w:ascii="宋体" w:eastAsia="宋体"/>
          <w:szCs w:val="21"/>
        </w:rPr>
        <w:t>2019]42</w:t>
      </w:r>
      <w:r>
        <w:rPr>
          <w:rFonts w:hint="eastAsia" w:ascii="宋体" w:eastAsia="宋体"/>
          <w:szCs w:val="21"/>
        </w:rPr>
        <w:t>号）文的规定，本项目不收取投标保证金。</w:t>
      </w:r>
    </w:p>
    <w:p w14:paraId="274113C0">
      <w:pPr>
        <w:spacing w:line="360" w:lineRule="auto"/>
        <w:rPr>
          <w:rFonts w:ascii="宋体" w:eastAsia="宋体"/>
          <w:szCs w:val="21"/>
        </w:rPr>
      </w:pPr>
      <w:r>
        <w:rPr>
          <w:rFonts w:hint="eastAsia" w:ascii="宋体" w:eastAsia="宋体"/>
          <w:szCs w:val="21"/>
        </w:rPr>
        <w:t>22．投标人的替代方案</w:t>
      </w:r>
    </w:p>
    <w:p w14:paraId="55A7C7E4">
      <w:pPr>
        <w:spacing w:line="360" w:lineRule="auto"/>
        <w:ind w:firstLine="411" w:firstLineChars="196"/>
        <w:rPr>
          <w:rFonts w:ascii="宋体" w:eastAsia="宋体"/>
          <w:szCs w:val="21"/>
        </w:rPr>
      </w:pPr>
      <w:r>
        <w:rPr>
          <w:rFonts w:hint="eastAsia" w:ascii="宋体" w:eastAsia="宋体"/>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173B065A">
      <w:pPr>
        <w:spacing w:line="360" w:lineRule="auto"/>
        <w:ind w:firstLine="411" w:firstLineChars="196"/>
        <w:rPr>
          <w:rFonts w:ascii="宋体" w:eastAsia="宋体"/>
          <w:szCs w:val="21"/>
        </w:rPr>
      </w:pPr>
      <w:r>
        <w:rPr>
          <w:rFonts w:hint="eastAsia" w:ascii="宋体" w:eastAsia="宋体"/>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56"/>
    <w:p w14:paraId="53D0A6AB">
      <w:pPr>
        <w:spacing w:line="360" w:lineRule="auto"/>
        <w:rPr>
          <w:rFonts w:ascii="宋体" w:eastAsia="宋体"/>
          <w:b/>
          <w:bCs/>
          <w:szCs w:val="21"/>
        </w:rPr>
      </w:pPr>
      <w:r>
        <w:rPr>
          <w:rFonts w:hint="eastAsia" w:ascii="宋体" w:eastAsia="宋体"/>
          <w:b/>
          <w:bCs/>
          <w:szCs w:val="21"/>
        </w:rPr>
        <w:t>23．</w:t>
      </w:r>
      <w:bookmarkStart w:id="57" w:name="_Hlk72402860"/>
      <w:r>
        <w:rPr>
          <w:rFonts w:ascii="宋体" w:eastAsia="宋体"/>
          <w:b/>
          <w:bCs/>
          <w:szCs w:val="21"/>
        </w:rPr>
        <w:t>投标文件的</w:t>
      </w:r>
      <w:r>
        <w:rPr>
          <w:rFonts w:hint="eastAsia" w:ascii="宋体" w:eastAsia="宋体"/>
          <w:b/>
          <w:bCs/>
          <w:szCs w:val="21"/>
        </w:rPr>
        <w:t>制作</w:t>
      </w:r>
      <w:r>
        <w:rPr>
          <w:rFonts w:ascii="宋体" w:eastAsia="宋体"/>
          <w:b/>
          <w:bCs/>
          <w:szCs w:val="21"/>
        </w:rPr>
        <w:t>要求</w:t>
      </w:r>
    </w:p>
    <w:p w14:paraId="61B64644">
      <w:pPr>
        <w:spacing w:line="360" w:lineRule="auto"/>
        <w:ind w:firstLine="411" w:firstLineChars="196"/>
        <w:rPr>
          <w:rFonts w:ascii="宋体" w:eastAsia="宋体"/>
          <w:szCs w:val="21"/>
        </w:rPr>
      </w:pPr>
      <w:r>
        <w:rPr>
          <w:rFonts w:hint="eastAsia" w:ascii="宋体" w:eastAsia="宋体"/>
          <w:szCs w:val="21"/>
        </w:rPr>
        <w:t>23.1投标人应准备所投项目的电子投标文件一份。此电子投标文件须由投标人根据采购代理机构提供的后缀名为.szczf的电子招标文件，下载并使用相应的深圳智慧采购平台投标文件制作专用软件打开招标文件（.szczf格式）【下载地址：</w:t>
      </w:r>
      <w:r>
        <w:rPr>
          <w:rFonts w:ascii="宋体" w:eastAsia="宋体"/>
          <w:szCs w:val="21"/>
        </w:rPr>
        <w:t>http://zfcg.szggzy.com/</w:t>
      </w:r>
      <w:r>
        <w:rPr>
          <w:rFonts w:hint="eastAsia" w:ascii="宋体" w:eastAsia="宋体"/>
          <w:szCs w:val="21"/>
        </w:rPr>
        <w:t>TPBidder/DownLoad/深圳市智慧采购平台投标文件制作专用软件.zip】。</w:t>
      </w:r>
    </w:p>
    <w:p w14:paraId="35F4948D">
      <w:pPr>
        <w:spacing w:line="360" w:lineRule="auto"/>
        <w:ind w:firstLine="411" w:firstLineChars="196"/>
        <w:rPr>
          <w:rFonts w:ascii="宋体" w:eastAsia="宋体"/>
          <w:szCs w:val="21"/>
        </w:rPr>
      </w:pPr>
      <w:r>
        <w:rPr>
          <w:rFonts w:hint="eastAsia" w:ascii="宋体" w:eastAsia="宋体"/>
          <w:szCs w:val="21"/>
        </w:rPr>
        <w:t>23.2投标人在使用《投标文件制作软件》编制投标书时须注意：</w:t>
      </w:r>
    </w:p>
    <w:p w14:paraId="7611DD64">
      <w:pPr>
        <w:spacing w:line="360" w:lineRule="auto"/>
        <w:ind w:firstLine="411" w:firstLineChars="196"/>
        <w:rPr>
          <w:rFonts w:ascii="宋体" w:eastAsia="宋体"/>
          <w:szCs w:val="21"/>
        </w:rPr>
      </w:pPr>
      <w:r>
        <w:rPr>
          <w:rFonts w:hint="eastAsia" w:ascii="宋体" w:eastAsia="宋体"/>
          <w:szCs w:val="21"/>
        </w:rPr>
        <w:t>23.2.1导入《投标文件制作软件》的招标文件项目编号、包号应与以此制作的投标文件项目编号、包号一致。例如，不能将甲项目A包的招标书导入《投标文件制作软件》，制作乙项目B包的投标书。</w:t>
      </w:r>
    </w:p>
    <w:p w14:paraId="2D5751AD">
      <w:pPr>
        <w:spacing w:line="360" w:lineRule="auto"/>
        <w:ind w:firstLine="411" w:firstLineChars="196"/>
        <w:rPr>
          <w:rFonts w:ascii="宋体" w:eastAsia="宋体"/>
          <w:szCs w:val="21"/>
        </w:rPr>
      </w:pPr>
      <w:r>
        <w:rPr>
          <w:rFonts w:hint="eastAsia" w:ascii="宋体" w:eastAsia="宋体"/>
          <w:szCs w:val="21"/>
        </w:rPr>
        <w:t>23.2.2不能用非本公司的电子密钥加密本公司的投标文件，或者用其它公司的登录用户上传本公司的投标文件。</w:t>
      </w:r>
    </w:p>
    <w:p w14:paraId="72E85681">
      <w:pPr>
        <w:spacing w:line="360" w:lineRule="auto"/>
        <w:ind w:firstLine="411" w:firstLineChars="196"/>
        <w:rPr>
          <w:rFonts w:ascii="宋体" w:eastAsia="宋体"/>
          <w:szCs w:val="21"/>
        </w:rPr>
      </w:pPr>
      <w:r>
        <w:rPr>
          <w:rFonts w:hint="eastAsia" w:ascii="宋体" w:eastAsia="宋体"/>
          <w:szCs w:val="21"/>
        </w:rPr>
        <w:t>23.2.3要求用《投标文件制作软件》编制投标书的包，不能用其它方式编制投标书。编制投标文件时，电脑须连通互联网。</w:t>
      </w:r>
    </w:p>
    <w:p w14:paraId="5593B546">
      <w:pPr>
        <w:spacing w:line="360" w:lineRule="auto"/>
        <w:ind w:firstLine="411" w:firstLineChars="196"/>
        <w:rPr>
          <w:rFonts w:ascii="宋体" w:eastAsia="宋体"/>
          <w:szCs w:val="21"/>
        </w:rPr>
      </w:pPr>
      <w:r>
        <w:rPr>
          <w:rFonts w:hint="eastAsia" w:ascii="宋体" w:eastAsia="宋体"/>
          <w:szCs w:val="21"/>
        </w:rPr>
        <w:t>23.2.4投标文件不能带病毒。采购代理机构将用专业杀毒软件对投标文件进行病毒检测，如果这两种软件均报告发现病毒，则采购代理机构认为该投标文件带病毒。</w:t>
      </w:r>
    </w:p>
    <w:p w14:paraId="511597EA">
      <w:pPr>
        <w:spacing w:line="360" w:lineRule="auto"/>
        <w:ind w:firstLine="411" w:firstLineChars="196"/>
        <w:rPr>
          <w:rFonts w:ascii="宋体" w:eastAsia="宋体"/>
          <w:szCs w:val="21"/>
        </w:rPr>
      </w:pPr>
      <w:r>
        <w:rPr>
          <w:rFonts w:hint="eastAsia" w:ascii="宋体" w:eastAsia="宋体"/>
          <w:szCs w:val="21"/>
        </w:rPr>
        <w:t>23.2.5完整填写“投标关键信息”，如下图所示：</w:t>
      </w:r>
    </w:p>
    <w:p w14:paraId="3A11FA14">
      <w:pPr>
        <w:tabs>
          <w:tab w:val="left" w:pos="0"/>
        </w:tabs>
        <w:spacing w:line="360" w:lineRule="auto"/>
        <w:rPr>
          <w:rFonts w:ascii="宋体" w:eastAsia="宋体"/>
          <w:szCs w:val="21"/>
        </w:rPr>
      </w:pPr>
      <w:r>
        <w:rPr>
          <w:rFonts w:ascii="宋体" w:eastAsia="宋体"/>
          <w:szCs w:val="21"/>
        </w:rPr>
        <w:drawing>
          <wp:inline distT="0" distB="0" distL="0" distR="0">
            <wp:extent cx="5278755" cy="2721610"/>
            <wp:effectExtent l="0" t="0" r="0" b="0"/>
            <wp:docPr id="13" name="图片 13"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图形用户界面, 应用程序&#10;&#10;描述已自动生成"/>
                    <pic:cNvPicPr>
                      <a:picLocks noChangeAspect="1"/>
                    </pic:cNvPicPr>
                  </pic:nvPicPr>
                  <pic:blipFill>
                    <a:blip r:embed="rId11"/>
                    <a:stretch>
                      <a:fillRect/>
                    </a:stretch>
                  </pic:blipFill>
                  <pic:spPr>
                    <a:xfrm>
                      <a:off x="0" y="0"/>
                      <a:ext cx="5278755" cy="2721610"/>
                    </a:xfrm>
                    <a:prstGeom prst="rect">
                      <a:avLst/>
                    </a:prstGeom>
                    <a:noFill/>
                    <a:ln w="12700" cap="flat" cmpd="sng">
                      <a:noFill/>
                      <a:prstDash val="solid"/>
                      <a:round/>
                    </a:ln>
                  </pic:spPr>
                </pic:pic>
              </a:graphicData>
            </a:graphic>
          </wp:inline>
        </w:drawing>
      </w:r>
    </w:p>
    <w:p w14:paraId="57537521">
      <w:pPr>
        <w:spacing w:line="360" w:lineRule="auto"/>
        <w:ind w:firstLine="413" w:firstLineChars="196"/>
        <w:rPr>
          <w:rFonts w:ascii="宋体" w:eastAsia="宋体"/>
          <w:b/>
          <w:szCs w:val="21"/>
        </w:rPr>
      </w:pPr>
      <w:r>
        <w:rPr>
          <w:rFonts w:hint="eastAsia" w:ascii="宋体" w:eastAsia="宋体"/>
          <w:b/>
          <w:szCs w:val="21"/>
        </w:rPr>
        <w:t>备注：上述“开标一览表”中的“投标总价”将作为价格分计算依据；其它信息仅是对投标文件相关内容的概括性表述，不作为评审依据。</w:t>
      </w:r>
    </w:p>
    <w:p w14:paraId="744A9DF7">
      <w:pPr>
        <w:spacing w:line="360" w:lineRule="auto"/>
        <w:ind w:firstLine="411" w:firstLineChars="196"/>
        <w:rPr>
          <w:rFonts w:ascii="宋体" w:eastAsia="宋体"/>
          <w:szCs w:val="21"/>
        </w:rPr>
      </w:pPr>
      <w:r>
        <w:rPr>
          <w:rFonts w:hint="eastAsia" w:ascii="宋体" w:eastAsia="宋体"/>
          <w:szCs w:val="21"/>
        </w:rPr>
        <w:t>23.2.6投标人在编辑投标文件时，</w:t>
      </w:r>
      <w:r>
        <w:rPr>
          <w:rFonts w:hint="eastAsia" w:ascii="宋体" w:eastAsia="宋体"/>
          <w:b/>
          <w:szCs w:val="21"/>
        </w:rPr>
        <w:t>在投标文件目录中属于本节点内容的必须在本节点中填写，填写到其他节点或附件，</w:t>
      </w:r>
      <w:r>
        <w:rPr>
          <w:rFonts w:hint="eastAsia" w:ascii="宋体" w:eastAsia="宋体"/>
          <w:szCs w:val="21"/>
        </w:rPr>
        <w:t>一切后果由供应商自行承担。</w:t>
      </w:r>
    </w:p>
    <w:p w14:paraId="5DC99FC0">
      <w:pPr>
        <w:spacing w:line="360" w:lineRule="auto"/>
        <w:ind w:firstLine="411" w:firstLineChars="196"/>
        <w:rPr>
          <w:rFonts w:ascii="宋体" w:eastAsia="宋体"/>
          <w:szCs w:val="21"/>
        </w:rPr>
      </w:pPr>
      <w:r>
        <w:rPr>
          <w:rFonts w:hint="eastAsia" w:ascii="宋体" w:eastAsia="宋体"/>
          <w:szCs w:val="21"/>
        </w:rPr>
        <w:t>23.2.7投标文件编写完成后，</w:t>
      </w:r>
      <w:r>
        <w:rPr>
          <w:rFonts w:hint="eastAsia" w:ascii="宋体" w:eastAsia="宋体"/>
          <w:b/>
          <w:szCs w:val="21"/>
        </w:rPr>
        <w:t>必须用属于投标人的电子密钥进行加密，否则视同未盖公章，将导致投标文件无效。</w:t>
      </w:r>
    </w:p>
    <w:p w14:paraId="1D85A95C">
      <w:pPr>
        <w:spacing w:line="360" w:lineRule="auto"/>
        <w:ind w:firstLine="411" w:firstLineChars="196"/>
        <w:rPr>
          <w:rFonts w:ascii="宋体" w:eastAsia="宋体"/>
          <w:szCs w:val="21"/>
        </w:rPr>
      </w:pPr>
      <w:r>
        <w:rPr>
          <w:rFonts w:hint="eastAsia" w:ascii="宋体" w:eastAsia="宋体"/>
          <w:szCs w:val="21"/>
        </w:rPr>
        <w:t>23.2.8采购代理机构不接受投标截止时间后递交的纸质、电子、传真等所有形式的投标文件。由于对网上政府采购系统操作不熟悉或自身电脑、网络等原因导致不能在投标截止时间之前上传投标文件，采购代理机构概不负责。建议于开标前一个工作日完成投标文件的制作与上传，如上传确有困难，请及时咨询。</w:t>
      </w:r>
    </w:p>
    <w:p w14:paraId="408BFB7A">
      <w:pPr>
        <w:spacing w:line="360" w:lineRule="auto"/>
        <w:ind w:firstLine="411" w:firstLineChars="196"/>
        <w:rPr>
          <w:rFonts w:ascii="宋体" w:eastAsia="宋体"/>
          <w:szCs w:val="21"/>
        </w:rPr>
      </w:pPr>
      <w:r>
        <w:rPr>
          <w:rFonts w:hint="eastAsia" w:ascii="宋体" w:eastAsia="宋体"/>
          <w:szCs w:val="21"/>
        </w:rPr>
        <w:t>23.2.9如果开标时出现网络故障、技术故障，影响了政府采购活动，采购代理机构有权采取措施如延期、接受无法从网上上传的投标书等，以保障政府采购活动的公开、公平和公正。</w:t>
      </w:r>
    </w:p>
    <w:p w14:paraId="11C7EB4C">
      <w:pPr>
        <w:spacing w:line="360" w:lineRule="auto"/>
        <w:ind w:firstLine="411" w:firstLineChars="196"/>
        <w:rPr>
          <w:rFonts w:ascii="宋体" w:eastAsia="宋体"/>
          <w:szCs w:val="21"/>
        </w:rPr>
      </w:pPr>
      <w:r>
        <w:rPr>
          <w:rFonts w:hint="eastAsia" w:ascii="宋体" w:eastAsia="宋体"/>
          <w:szCs w:val="21"/>
        </w:rPr>
        <w:t>23.3电报、电话、传真形式的投标概不接受。</w:t>
      </w:r>
    </w:p>
    <w:p w14:paraId="1C79D529">
      <w:pPr>
        <w:spacing w:line="360" w:lineRule="auto"/>
        <w:ind w:firstLine="413" w:firstLineChars="196"/>
        <w:rPr>
          <w:rFonts w:ascii="宋体" w:eastAsia="宋体"/>
          <w:b/>
          <w:szCs w:val="21"/>
        </w:rPr>
      </w:pPr>
      <w:r>
        <w:rPr>
          <w:rFonts w:hint="eastAsia" w:ascii="宋体" w:eastAsia="宋体"/>
          <w:b/>
          <w:szCs w:val="21"/>
        </w:rPr>
        <w:t>23.4经投标人电子密钥加密的投标文件无须盖章或签字，</w:t>
      </w:r>
      <w:r>
        <w:rPr>
          <w:rFonts w:hint="eastAsia" w:ascii="宋体" w:eastAsia="宋体"/>
          <w:szCs w:val="21"/>
        </w:rPr>
        <w:t>专用条款另有要求的除外。</w:t>
      </w:r>
    </w:p>
    <w:p w14:paraId="242E0508">
      <w:pPr>
        <w:spacing w:line="360" w:lineRule="auto"/>
        <w:ind w:firstLine="413" w:firstLineChars="196"/>
        <w:rPr>
          <w:rFonts w:ascii="宋体" w:eastAsia="宋体"/>
          <w:szCs w:val="21"/>
        </w:rPr>
      </w:pPr>
      <w:r>
        <w:rPr>
          <w:rFonts w:hint="eastAsia" w:ascii="宋体" w:eastAsia="宋体"/>
          <w:b/>
          <w:szCs w:val="21"/>
        </w:rPr>
        <w:t>23.5</w:t>
      </w:r>
      <w:r>
        <w:rPr>
          <w:rFonts w:hint="eastAsia" w:ascii="宋体" w:eastAsia="宋体"/>
          <w:szCs w:val="21"/>
        </w:rPr>
        <w:t xml:space="preserve"> 各类资格（资质）文件提供扫描件，专用条款另有要求的除外。</w:t>
      </w:r>
      <w:bookmarkEnd w:id="57"/>
    </w:p>
    <w:p w14:paraId="2379BD1F">
      <w:pPr>
        <w:pStyle w:val="5"/>
        <w:widowControl/>
        <w:numPr>
          <w:ilvl w:val="0"/>
          <w:numId w:val="14"/>
        </w:numPr>
        <w:spacing w:before="120" w:beforeLines="50" w:after="120" w:afterLines="50" w:line="360" w:lineRule="auto"/>
        <w:ind w:left="562" w:hanging="562"/>
        <w:rPr>
          <w:rFonts w:ascii="宋体" w:eastAsia="宋体"/>
          <w:sz w:val="28"/>
          <w:szCs w:val="28"/>
        </w:rPr>
      </w:pPr>
      <w:r>
        <w:rPr>
          <w:rFonts w:hint="eastAsia" w:ascii="宋体" w:eastAsia="宋体"/>
          <w:sz w:val="28"/>
          <w:szCs w:val="28"/>
        </w:rPr>
        <w:t>投标文件的递交</w:t>
      </w:r>
      <w:bookmarkStart w:id="58" w:name="_Hlk72405459"/>
    </w:p>
    <w:p w14:paraId="421DA0A9">
      <w:pPr>
        <w:spacing w:line="360" w:lineRule="auto"/>
        <w:rPr>
          <w:rFonts w:ascii="宋体" w:eastAsia="宋体"/>
          <w:b/>
          <w:bCs/>
          <w:szCs w:val="21"/>
        </w:rPr>
      </w:pPr>
      <w:r>
        <w:rPr>
          <w:rFonts w:hint="eastAsia" w:ascii="宋体" w:eastAsia="宋体"/>
          <w:b/>
          <w:bCs/>
          <w:szCs w:val="21"/>
        </w:rPr>
        <w:t>24．投标书的保密</w:t>
      </w:r>
    </w:p>
    <w:p w14:paraId="2702F84C">
      <w:pPr>
        <w:spacing w:line="360" w:lineRule="auto"/>
        <w:ind w:firstLine="411" w:firstLineChars="196"/>
        <w:rPr>
          <w:rFonts w:ascii="宋体" w:eastAsia="宋体"/>
          <w:szCs w:val="21"/>
        </w:rPr>
      </w:pPr>
      <w:r>
        <w:rPr>
          <w:rFonts w:hint="eastAsia" w:ascii="宋体" w:eastAsia="宋体"/>
          <w:szCs w:val="21"/>
        </w:rPr>
        <w:t>24.1在投标文件制作完成后，在投标文件制作软件点击【生成标书】按钮进入【填写开标一览表界面】界面，在该界面填写完开标一览表信息后点击【确定】，进入投标文件生成环节。投标文件制作软件会在投标文件生成过程中，提示用户输入密码，输入密码后对标文件自动进行加密，此加密程序确保投标文件在到达开标时间后才能解密查看。在加密过程中，请按照软件提示进行操作。加密操作界面如下图所示：</w:t>
      </w:r>
    </w:p>
    <w:p w14:paraId="5E2ABBF0">
      <w:pPr>
        <w:spacing w:line="360" w:lineRule="auto"/>
        <w:jc w:val="center"/>
        <w:rPr>
          <w:rFonts w:ascii="宋体" w:eastAsia="宋体"/>
          <w:szCs w:val="21"/>
        </w:rPr>
      </w:pPr>
      <w:r>
        <w:rPr>
          <w:rFonts w:ascii="宋体" w:eastAsia="宋体"/>
          <w:szCs w:val="21"/>
        </w:rPr>
        <w:drawing>
          <wp:inline distT="0" distB="0" distL="0" distR="0">
            <wp:extent cx="5278755" cy="2721610"/>
            <wp:effectExtent l="0" t="0" r="0" b="0"/>
            <wp:docPr id="16" name="图片 1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图形用户界面, 应用程序&#10;&#10;描述已自动生成"/>
                    <pic:cNvPicPr>
                      <a:picLocks noChangeAspect="1"/>
                    </pic:cNvPicPr>
                  </pic:nvPicPr>
                  <pic:blipFill>
                    <a:blip r:embed="rId11"/>
                    <a:stretch>
                      <a:fillRect/>
                    </a:stretch>
                  </pic:blipFill>
                  <pic:spPr>
                    <a:xfrm>
                      <a:off x="0" y="0"/>
                      <a:ext cx="5278755" cy="2721610"/>
                    </a:xfrm>
                    <a:prstGeom prst="rect">
                      <a:avLst/>
                    </a:prstGeom>
                    <a:noFill/>
                    <a:ln w="12700" cap="flat" cmpd="sng">
                      <a:noFill/>
                      <a:prstDash val="solid"/>
                      <a:round/>
                    </a:ln>
                  </pic:spPr>
                </pic:pic>
              </a:graphicData>
            </a:graphic>
          </wp:inline>
        </w:drawing>
      </w:r>
    </w:p>
    <w:p w14:paraId="330C1C9C">
      <w:pPr>
        <w:spacing w:line="360" w:lineRule="auto"/>
        <w:ind w:firstLine="411" w:firstLineChars="196"/>
        <w:rPr>
          <w:rFonts w:ascii="宋体" w:eastAsia="宋体"/>
          <w:szCs w:val="21"/>
        </w:rPr>
      </w:pPr>
      <w:r>
        <w:rPr>
          <w:rFonts w:hint="eastAsia" w:ascii="宋体" w:eastAsia="宋体"/>
          <w:szCs w:val="21"/>
        </w:rPr>
        <w:t>在投标文件制作软件点击【生成标书】按钮进入【填写开标一览表界面】界面，在该界面填写完开标一览表信息后点击【确定】，进入投标文件生成环节。</w:t>
      </w:r>
      <w:r>
        <w:rPr>
          <w:rFonts w:ascii="宋体" w:eastAsia="宋体"/>
          <w:szCs w:val="21"/>
        </w:rPr>
        <w:drawing>
          <wp:inline distT="0" distB="0" distL="0" distR="0">
            <wp:extent cx="5278755" cy="2732405"/>
            <wp:effectExtent l="0" t="0" r="0" b="0"/>
            <wp:docPr id="18" name="图片 1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图形用户界面&#10;&#10;描述已自动生成"/>
                    <pic:cNvPicPr>
                      <a:picLocks noChangeAspect="1"/>
                    </pic:cNvPicPr>
                  </pic:nvPicPr>
                  <pic:blipFill>
                    <a:blip r:embed="rId12"/>
                    <a:stretch>
                      <a:fillRect/>
                    </a:stretch>
                  </pic:blipFill>
                  <pic:spPr>
                    <a:xfrm>
                      <a:off x="0" y="0"/>
                      <a:ext cx="5278755" cy="2732405"/>
                    </a:xfrm>
                    <a:prstGeom prst="rect">
                      <a:avLst/>
                    </a:prstGeom>
                    <a:noFill/>
                    <a:ln w="12700" cap="flat" cmpd="sng">
                      <a:noFill/>
                      <a:prstDash val="solid"/>
                      <a:round/>
                    </a:ln>
                  </pic:spPr>
                </pic:pic>
              </a:graphicData>
            </a:graphic>
          </wp:inline>
        </w:drawing>
      </w:r>
    </w:p>
    <w:p w14:paraId="1CE4A74D">
      <w:pPr>
        <w:spacing w:line="360" w:lineRule="auto"/>
        <w:ind w:firstLine="411" w:firstLineChars="196"/>
        <w:rPr>
          <w:rFonts w:ascii="宋体" w:eastAsia="宋体"/>
          <w:szCs w:val="21"/>
        </w:rPr>
      </w:pPr>
      <w:r>
        <w:rPr>
          <w:rFonts w:hint="eastAsia" w:ascii="宋体" w:eastAsia="宋体"/>
          <w:szCs w:val="21"/>
        </w:rPr>
        <w:t>投标文件制作软件会在投标文件生成过程中，提示用户输入密码，输入密码后对标文件自动进行加密。</w:t>
      </w:r>
    </w:p>
    <w:p w14:paraId="1D3315F8">
      <w:pPr>
        <w:spacing w:line="360" w:lineRule="auto"/>
        <w:ind w:firstLine="422" w:firstLineChars="200"/>
        <w:rPr>
          <w:rFonts w:ascii="宋体" w:eastAsia="宋体"/>
          <w:b/>
          <w:szCs w:val="21"/>
        </w:rPr>
      </w:pPr>
      <w:r>
        <w:rPr>
          <w:rFonts w:hint="eastAsia" w:ascii="宋体" w:eastAsia="宋体"/>
          <w:b/>
          <w:szCs w:val="21"/>
        </w:rPr>
        <w:t>24.2若采购项目出现延期情况：</w:t>
      </w:r>
    </w:p>
    <w:p w14:paraId="357248D0">
      <w:pPr>
        <w:spacing w:line="360" w:lineRule="auto"/>
        <w:ind w:firstLine="422" w:firstLineChars="200"/>
        <w:rPr>
          <w:rFonts w:ascii="宋体" w:eastAsia="宋体"/>
          <w:b/>
          <w:szCs w:val="21"/>
        </w:rPr>
      </w:pPr>
      <w:r>
        <w:rPr>
          <w:rFonts w:hint="eastAsia" w:ascii="宋体" w:eastAsia="宋体"/>
          <w:b/>
          <w:szCs w:val="21"/>
        </w:rPr>
        <w:t>如果供下载的招标文件（后缀名为.</w:t>
      </w:r>
      <w:r>
        <w:rPr>
          <w:rFonts w:ascii="宋体" w:eastAsia="宋体"/>
          <w:b/>
          <w:szCs w:val="21"/>
        </w:rPr>
        <w:t>szczf</w:t>
      </w:r>
      <w:r>
        <w:rPr>
          <w:rFonts w:hint="eastAsia" w:ascii="宋体" w:eastAsia="宋体"/>
          <w:b/>
          <w:szCs w:val="21"/>
        </w:rPr>
        <w:t>）有更新，投标人必须重新下载招标文件、重新制作投标文件、重新加密投标文件、重新上传投标文件；如果供下载的招标文件（后缀名为.</w:t>
      </w:r>
      <w:r>
        <w:rPr>
          <w:rFonts w:ascii="宋体" w:eastAsia="宋体"/>
          <w:b/>
          <w:szCs w:val="21"/>
        </w:rPr>
        <w:t>szczf</w:t>
      </w:r>
      <w:r>
        <w:rPr>
          <w:rFonts w:hint="eastAsia" w:ascii="宋体" w:eastAsia="宋体"/>
          <w:b/>
          <w:szCs w:val="21"/>
        </w:rPr>
        <w:t>）没有更新，投标人必须重新加密投标文件、重新上传投标文件（是否重新制作投标文件根据项目实际情况定）。否则，投标人自行承担投标文件无法解密导致投标无效的后果。</w:t>
      </w:r>
    </w:p>
    <w:p w14:paraId="732FBC43">
      <w:pPr>
        <w:spacing w:line="360" w:lineRule="auto"/>
        <w:rPr>
          <w:rFonts w:ascii="宋体" w:eastAsia="宋体"/>
          <w:b/>
          <w:bCs/>
          <w:szCs w:val="21"/>
        </w:rPr>
      </w:pPr>
      <w:r>
        <w:rPr>
          <w:rFonts w:hint="eastAsia" w:ascii="宋体" w:eastAsia="宋体"/>
          <w:b/>
          <w:bCs/>
          <w:szCs w:val="21"/>
        </w:rPr>
        <w:t>25．上传投标文件及投标截止日期</w:t>
      </w:r>
    </w:p>
    <w:p w14:paraId="32C33E6A">
      <w:pPr>
        <w:spacing w:line="360" w:lineRule="auto"/>
        <w:ind w:firstLine="411" w:firstLineChars="196"/>
        <w:rPr>
          <w:rFonts w:ascii="宋体" w:eastAsia="宋体"/>
          <w:szCs w:val="21"/>
        </w:rPr>
      </w:pPr>
      <w:r>
        <w:rPr>
          <w:rFonts w:hint="eastAsia" w:ascii="宋体" w:eastAsia="宋体"/>
          <w:szCs w:val="21"/>
        </w:rPr>
        <w:t>25</w:t>
      </w:r>
      <w:r>
        <w:rPr>
          <w:rFonts w:ascii="宋体" w:eastAsia="宋体"/>
          <w:szCs w:val="21"/>
        </w:rPr>
        <w:t>.</w:t>
      </w:r>
      <w:r>
        <w:rPr>
          <w:rFonts w:hint="eastAsia" w:ascii="宋体" w:eastAsia="宋体"/>
          <w:szCs w:val="21"/>
        </w:rPr>
        <w:t>1实行网上投标，</w:t>
      </w:r>
      <w:r>
        <w:rPr>
          <w:rFonts w:ascii="宋体" w:eastAsia="宋体"/>
          <w:szCs w:val="21"/>
        </w:rPr>
        <w:t>投标人必须</w:t>
      </w:r>
      <w:r>
        <w:rPr>
          <w:rFonts w:hint="eastAsia" w:ascii="宋体" w:eastAsia="宋体"/>
          <w:szCs w:val="21"/>
        </w:rPr>
        <w:t>在招标</w:t>
      </w:r>
      <w:r>
        <w:rPr>
          <w:rFonts w:ascii="宋体" w:eastAsia="宋体"/>
          <w:szCs w:val="21"/>
        </w:rPr>
        <w:t>文件规定的投标截止时间前</w:t>
      </w:r>
      <w:r>
        <w:rPr>
          <w:rFonts w:hint="eastAsia" w:ascii="宋体" w:eastAsia="宋体"/>
          <w:szCs w:val="21"/>
        </w:rPr>
        <w:t>用电子密钥登录“深圳政府采购智慧平台用户网上办事子系统（http://zfcg.szggzy.com/TPBidder/memberLogin）”，用“【我的项目】→【项目流程】→【递交投标(应答)文件】”功能点上传投标文件。</w:t>
      </w:r>
    </w:p>
    <w:p w14:paraId="41DF1C71">
      <w:pPr>
        <w:spacing w:line="360" w:lineRule="auto"/>
        <w:ind w:firstLine="411" w:firstLineChars="196"/>
        <w:rPr>
          <w:rFonts w:ascii="宋体" w:eastAsia="宋体"/>
          <w:szCs w:val="21"/>
        </w:rPr>
      </w:pPr>
      <w:r>
        <w:rPr>
          <w:rFonts w:hint="eastAsia" w:ascii="宋体" w:eastAsia="宋体"/>
          <w:szCs w:val="21"/>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11F6F2B4">
      <w:pPr>
        <w:spacing w:line="360" w:lineRule="auto"/>
        <w:ind w:firstLine="411" w:firstLineChars="196"/>
        <w:rPr>
          <w:rFonts w:ascii="宋体" w:eastAsia="宋体"/>
          <w:szCs w:val="21"/>
        </w:rPr>
      </w:pPr>
      <w:r>
        <w:rPr>
          <w:rFonts w:hint="eastAsia" w:ascii="宋体" w:eastAsia="宋体"/>
          <w:szCs w:val="21"/>
        </w:rPr>
        <w:t>25</w:t>
      </w:r>
      <w:r>
        <w:rPr>
          <w:rFonts w:ascii="宋体" w:eastAsia="宋体"/>
          <w:szCs w:val="21"/>
        </w:rPr>
        <w:t>.</w:t>
      </w:r>
      <w:r>
        <w:rPr>
          <w:rFonts w:hint="eastAsia" w:ascii="宋体" w:eastAsia="宋体"/>
          <w:szCs w:val="21"/>
        </w:rPr>
        <w:t>3投标截止时间以后不得上传投标文件。</w:t>
      </w:r>
    </w:p>
    <w:p w14:paraId="55FBC322">
      <w:pPr>
        <w:spacing w:line="360" w:lineRule="auto"/>
        <w:ind w:firstLine="411" w:firstLineChars="196"/>
        <w:rPr>
          <w:rFonts w:ascii="宋体" w:eastAsia="宋体"/>
          <w:szCs w:val="21"/>
        </w:rPr>
      </w:pPr>
      <w:r>
        <w:rPr>
          <w:rFonts w:hint="eastAsia" w:ascii="宋体" w:eastAsia="宋体"/>
          <w:szCs w:val="21"/>
        </w:rPr>
        <w:t>25.4.投标人须在开标当日的开标时间至解密截止时间内进行解密，逾期未解密的作无效处理。解密方法：登录“深圳政府采购智慧平台用户网上办事子系统（http://zfcg.szggzy.com/TPBidder/memberLogin）”，使用本单位制作电子投标文件同一个电子密钥，在“【我的项目】→【项目流程】→【开标及解密】”进行在线解密、查询开标情况。</w:t>
      </w:r>
    </w:p>
    <w:bookmarkEnd w:id="58"/>
    <w:p w14:paraId="4E657ED6">
      <w:pPr>
        <w:spacing w:line="360" w:lineRule="auto"/>
        <w:rPr>
          <w:rFonts w:ascii="宋体" w:eastAsia="宋体"/>
          <w:b/>
          <w:bCs/>
          <w:szCs w:val="21"/>
        </w:rPr>
      </w:pPr>
      <w:r>
        <w:rPr>
          <w:rFonts w:hint="eastAsia" w:ascii="宋体" w:eastAsia="宋体"/>
          <w:b/>
          <w:bCs/>
          <w:szCs w:val="21"/>
        </w:rPr>
        <w:t>26. 样品、现场演示、方案讲解</w:t>
      </w:r>
    </w:p>
    <w:p w14:paraId="75C91CED">
      <w:pPr>
        <w:spacing w:line="360" w:lineRule="auto"/>
        <w:ind w:firstLine="411" w:firstLineChars="196"/>
        <w:rPr>
          <w:rFonts w:ascii="宋体" w:eastAsia="宋体"/>
          <w:szCs w:val="21"/>
        </w:rPr>
      </w:pPr>
      <w:r>
        <w:rPr>
          <w:rFonts w:hint="eastAsia" w:ascii="宋体" w:eastAsia="宋体"/>
          <w:szCs w:val="21"/>
        </w:rPr>
        <w:t>26.1 样品、现场演示、方案讲解等事项在招标文件专用条款中进行规定。</w:t>
      </w:r>
    </w:p>
    <w:p w14:paraId="5B10614F">
      <w:pPr>
        <w:spacing w:line="360" w:lineRule="auto"/>
        <w:rPr>
          <w:rFonts w:ascii="宋体" w:eastAsia="宋体"/>
          <w:b/>
          <w:bCs/>
          <w:szCs w:val="21"/>
        </w:rPr>
      </w:pPr>
      <w:bookmarkStart w:id="59" w:name="_Hlk72428346"/>
      <w:r>
        <w:rPr>
          <w:rFonts w:ascii="宋体" w:eastAsia="宋体"/>
          <w:b/>
          <w:bCs/>
          <w:szCs w:val="21"/>
        </w:rPr>
        <w:t>2</w:t>
      </w:r>
      <w:r>
        <w:rPr>
          <w:rFonts w:hint="eastAsia" w:ascii="宋体" w:eastAsia="宋体"/>
          <w:b/>
          <w:bCs/>
          <w:szCs w:val="21"/>
        </w:rPr>
        <w:t>7．</w:t>
      </w:r>
      <w:r>
        <w:rPr>
          <w:rFonts w:ascii="宋体" w:eastAsia="宋体"/>
          <w:b/>
          <w:bCs/>
          <w:szCs w:val="21"/>
        </w:rPr>
        <w:t>投标文件的修改和撤销</w:t>
      </w:r>
    </w:p>
    <w:p w14:paraId="59B46862">
      <w:pPr>
        <w:spacing w:line="360" w:lineRule="auto"/>
        <w:ind w:firstLine="411" w:firstLineChars="196"/>
        <w:rPr>
          <w:rFonts w:ascii="宋体" w:eastAsia="宋体"/>
          <w:szCs w:val="21"/>
        </w:rPr>
      </w:pPr>
      <w:r>
        <w:rPr>
          <w:rFonts w:ascii="宋体" w:eastAsia="宋体"/>
          <w:szCs w:val="21"/>
        </w:rPr>
        <w:t>2</w:t>
      </w:r>
      <w:r>
        <w:rPr>
          <w:rFonts w:hint="eastAsia" w:ascii="宋体" w:eastAsia="宋体"/>
          <w:szCs w:val="21"/>
        </w:rPr>
        <w:t>7</w:t>
      </w:r>
      <w:r>
        <w:rPr>
          <w:rFonts w:ascii="宋体" w:eastAsia="宋体"/>
          <w:szCs w:val="21"/>
        </w:rPr>
        <w:t>.</w:t>
      </w:r>
      <w:r>
        <w:rPr>
          <w:rFonts w:hint="eastAsia" w:ascii="宋体" w:eastAsia="宋体"/>
          <w:szCs w:val="21"/>
        </w:rPr>
        <w:t>1</w:t>
      </w:r>
      <w:r>
        <w:rPr>
          <w:rFonts w:ascii="宋体" w:eastAsia="宋体"/>
          <w:szCs w:val="21"/>
        </w:rPr>
        <w:t>投标方在提交投标文件后可对其投标文件进行修改</w:t>
      </w:r>
      <w:r>
        <w:rPr>
          <w:rFonts w:hint="eastAsia" w:ascii="宋体" w:eastAsia="宋体"/>
          <w:szCs w:val="21"/>
        </w:rPr>
        <w:t>并重新上传投标文件</w:t>
      </w:r>
      <w:r>
        <w:rPr>
          <w:rFonts w:ascii="宋体" w:eastAsia="宋体"/>
          <w:szCs w:val="21"/>
        </w:rPr>
        <w:t>或</w:t>
      </w:r>
      <w:r>
        <w:rPr>
          <w:rFonts w:hint="eastAsia" w:ascii="宋体" w:eastAsia="宋体"/>
          <w:szCs w:val="21"/>
        </w:rPr>
        <w:t>在网上进行</w:t>
      </w:r>
      <w:r>
        <w:rPr>
          <w:rFonts w:ascii="宋体" w:eastAsia="宋体"/>
          <w:szCs w:val="21"/>
        </w:rPr>
        <w:t>撤销</w:t>
      </w:r>
      <w:r>
        <w:rPr>
          <w:rFonts w:hint="eastAsia" w:ascii="宋体" w:eastAsia="宋体"/>
          <w:szCs w:val="21"/>
        </w:rPr>
        <w:t>投标的操作</w:t>
      </w:r>
      <w:r>
        <w:rPr>
          <w:rFonts w:ascii="宋体" w:eastAsia="宋体"/>
          <w:szCs w:val="21"/>
        </w:rPr>
        <w:t>。</w:t>
      </w:r>
    </w:p>
    <w:p w14:paraId="1112B509">
      <w:pPr>
        <w:spacing w:line="360" w:lineRule="auto"/>
        <w:ind w:firstLine="411" w:firstLineChars="196"/>
        <w:rPr>
          <w:rFonts w:ascii="宋体" w:eastAsia="宋体"/>
          <w:szCs w:val="21"/>
        </w:rPr>
      </w:pPr>
      <w:r>
        <w:rPr>
          <w:rFonts w:ascii="宋体" w:eastAsia="宋体"/>
          <w:szCs w:val="21"/>
        </w:rPr>
        <w:t>2</w:t>
      </w:r>
      <w:r>
        <w:rPr>
          <w:rFonts w:hint="eastAsia" w:ascii="宋体" w:eastAsia="宋体"/>
          <w:szCs w:val="21"/>
        </w:rPr>
        <w:t>7</w:t>
      </w:r>
      <w:r>
        <w:rPr>
          <w:rFonts w:ascii="宋体" w:eastAsia="宋体"/>
          <w:szCs w:val="21"/>
        </w:rPr>
        <w:t>.</w:t>
      </w:r>
      <w:r>
        <w:rPr>
          <w:rFonts w:hint="eastAsia" w:ascii="宋体" w:eastAsia="宋体"/>
          <w:szCs w:val="21"/>
        </w:rPr>
        <w:t>2</w:t>
      </w:r>
      <w:r>
        <w:rPr>
          <w:rFonts w:ascii="宋体" w:eastAsia="宋体"/>
          <w:szCs w:val="21"/>
        </w:rPr>
        <w:t>投标截止时间以后不得修改投标文件。</w:t>
      </w:r>
    </w:p>
    <w:p w14:paraId="40C69D51">
      <w:pPr>
        <w:spacing w:line="360" w:lineRule="auto"/>
        <w:ind w:firstLine="411" w:firstLineChars="196"/>
        <w:rPr>
          <w:rFonts w:ascii="宋体" w:eastAsia="宋体"/>
          <w:szCs w:val="21"/>
        </w:rPr>
      </w:pPr>
      <w:r>
        <w:rPr>
          <w:rFonts w:ascii="宋体" w:eastAsia="宋体"/>
          <w:szCs w:val="21"/>
        </w:rPr>
        <w:t>2</w:t>
      </w:r>
      <w:r>
        <w:rPr>
          <w:rFonts w:hint="eastAsia" w:ascii="宋体" w:eastAsia="宋体"/>
          <w:szCs w:val="21"/>
        </w:rPr>
        <w:t>7</w:t>
      </w:r>
      <w:r>
        <w:rPr>
          <w:rFonts w:ascii="宋体" w:eastAsia="宋体"/>
          <w:szCs w:val="21"/>
        </w:rPr>
        <w:t>.</w:t>
      </w:r>
      <w:r>
        <w:rPr>
          <w:rFonts w:hint="eastAsia" w:ascii="宋体" w:eastAsia="宋体"/>
          <w:szCs w:val="21"/>
        </w:rPr>
        <w:t>3从投标截止期至投标人在投标文件中确定的投标有效期之间的这段时间内，投标人不得撤回其投标。</w:t>
      </w:r>
    </w:p>
    <w:p w14:paraId="28AA2E6B">
      <w:pPr>
        <w:spacing w:line="360" w:lineRule="auto"/>
        <w:ind w:firstLine="411" w:firstLineChars="196"/>
        <w:rPr>
          <w:rFonts w:ascii="宋体" w:eastAsia="宋体"/>
          <w:szCs w:val="21"/>
        </w:rPr>
      </w:pPr>
      <w:r>
        <w:rPr>
          <w:rFonts w:hint="eastAsia" w:ascii="宋体" w:eastAsia="宋体"/>
          <w:szCs w:val="21"/>
        </w:rPr>
        <w:t>27.4采购代理机构不退还投标文件，专用条款另有规定的除外。</w:t>
      </w:r>
    </w:p>
    <w:bookmarkEnd w:id="59"/>
    <w:p w14:paraId="31516BBC">
      <w:pPr>
        <w:pStyle w:val="5"/>
        <w:widowControl/>
        <w:numPr>
          <w:ilvl w:val="0"/>
          <w:numId w:val="14"/>
        </w:numPr>
        <w:spacing w:before="120" w:beforeLines="50" w:after="120" w:afterLines="50" w:line="360" w:lineRule="auto"/>
        <w:ind w:left="562" w:hanging="562"/>
        <w:rPr>
          <w:rFonts w:ascii="宋体" w:eastAsia="宋体"/>
          <w:sz w:val="28"/>
          <w:szCs w:val="28"/>
        </w:rPr>
      </w:pPr>
      <w:r>
        <w:rPr>
          <w:rFonts w:hint="eastAsia" w:ascii="宋体" w:eastAsia="宋体"/>
          <w:sz w:val="28"/>
          <w:szCs w:val="28"/>
        </w:rPr>
        <w:t>开标</w:t>
      </w:r>
    </w:p>
    <w:p w14:paraId="75D95B02">
      <w:pPr>
        <w:spacing w:line="360" w:lineRule="auto"/>
        <w:rPr>
          <w:rFonts w:ascii="宋体" w:eastAsia="宋体"/>
          <w:b/>
          <w:bCs/>
          <w:szCs w:val="21"/>
        </w:rPr>
      </w:pPr>
      <w:r>
        <w:rPr>
          <w:rFonts w:hint="eastAsia" w:ascii="宋体" w:eastAsia="宋体"/>
          <w:b/>
          <w:bCs/>
          <w:szCs w:val="21"/>
        </w:rPr>
        <w:t>28．开标</w:t>
      </w:r>
    </w:p>
    <w:p w14:paraId="4189A545">
      <w:pPr>
        <w:spacing w:line="360" w:lineRule="auto"/>
        <w:ind w:firstLine="420" w:firstLineChars="200"/>
        <w:rPr>
          <w:rFonts w:ascii="宋体" w:eastAsia="宋体"/>
          <w:szCs w:val="21"/>
        </w:rPr>
      </w:pPr>
      <w:r>
        <w:rPr>
          <w:rFonts w:ascii="宋体" w:eastAsia="宋体"/>
          <w:szCs w:val="21"/>
        </w:rPr>
        <w:t>2</w:t>
      </w:r>
      <w:r>
        <w:rPr>
          <w:rFonts w:hint="eastAsia" w:ascii="宋体" w:eastAsia="宋体"/>
          <w:szCs w:val="21"/>
        </w:rPr>
        <w:t>8</w:t>
      </w:r>
      <w:r>
        <w:rPr>
          <w:rFonts w:ascii="宋体" w:eastAsia="宋体"/>
          <w:szCs w:val="21"/>
        </w:rPr>
        <w:t>.</w:t>
      </w:r>
      <w:r>
        <w:rPr>
          <w:rFonts w:hint="eastAsia" w:ascii="宋体" w:eastAsia="宋体"/>
          <w:szCs w:val="21"/>
        </w:rPr>
        <w:t>1投标人须在开标当日的开标时间至解密截止时间内进行解密，逾期未解密的作无效处理。解密方法：登录“深圳政府采购智慧平台用户网上办事子系统（</w:t>
      </w:r>
      <w:r>
        <w:rPr>
          <w:rFonts w:ascii="宋体" w:eastAsia="宋体"/>
          <w:szCs w:val="21"/>
        </w:rPr>
        <w:t>http://zfcg.szggzy.com/</w:t>
      </w:r>
      <w:r>
        <w:rPr>
          <w:rFonts w:hint="eastAsia" w:ascii="宋体" w:eastAsia="宋体"/>
          <w:szCs w:val="21"/>
        </w:rPr>
        <w:t>TPBidder/memberLogin）”，使用本单位制作电子投标文件同一个电子密钥，在“【我的项目】→【项目流程】→【开标及解密】”进行在线解密、查询开标情况。</w:t>
      </w:r>
    </w:p>
    <w:p w14:paraId="719087F5">
      <w:pPr>
        <w:spacing w:line="360" w:lineRule="auto"/>
        <w:ind w:firstLine="359" w:firstLineChars="171"/>
        <w:rPr>
          <w:rFonts w:ascii="宋体" w:eastAsia="宋体"/>
          <w:szCs w:val="21"/>
        </w:rPr>
      </w:pPr>
      <w:r>
        <w:rPr>
          <w:rFonts w:hint="eastAsia" w:ascii="宋体" w:eastAsia="宋体"/>
          <w:szCs w:val="21"/>
        </w:rPr>
        <w:t>2</w:t>
      </w:r>
      <w:r>
        <w:rPr>
          <w:rFonts w:ascii="宋体" w:eastAsia="宋体"/>
          <w:szCs w:val="21"/>
        </w:rPr>
        <w:t xml:space="preserve">8.2 </w:t>
      </w:r>
      <w:r>
        <w:rPr>
          <w:rFonts w:hint="eastAsia" w:ascii="宋体" w:eastAsia="宋体"/>
          <w:szCs w:val="21"/>
        </w:rPr>
        <w:t>采购代理机构将在满足开标条件（</w:t>
      </w:r>
      <w:r>
        <w:rPr>
          <w:rFonts w:hint="eastAsia" w:ascii="宋体" w:eastAsia="宋体" w:cs="宋体"/>
          <w:color w:val="333333"/>
          <w:szCs w:val="21"/>
          <w:shd w:val="clear" w:color="auto" w:fill="FFFFFF"/>
        </w:rPr>
        <w:t>①</w:t>
      </w:r>
      <w:r>
        <w:rPr>
          <w:rFonts w:hint="eastAsia" w:ascii="宋体" w:eastAsia="宋体"/>
          <w:szCs w:val="21"/>
        </w:rPr>
        <w:t>解密时间结束，解密后的投标供应商数量满足开标要求或</w:t>
      </w:r>
      <w:r>
        <w:rPr>
          <w:rFonts w:hint="eastAsia" w:ascii="宋体" w:eastAsia="宋体" w:cs="宋体"/>
          <w:color w:val="333333"/>
          <w:szCs w:val="21"/>
          <w:shd w:val="clear" w:color="auto" w:fill="FFFFFF"/>
        </w:rPr>
        <w:t>②</w:t>
      </w:r>
      <w:r>
        <w:rPr>
          <w:rFonts w:hint="eastAsia" w:ascii="宋体" w:eastAsia="宋体"/>
          <w:szCs w:val="21"/>
        </w:rPr>
        <w:t>解密时间结束前所有投标供应商均完成投标文件解密）后，对投标文件进行开标，并在网上公布开标结果。</w:t>
      </w:r>
    </w:p>
    <w:p w14:paraId="2E1873B7">
      <w:pPr>
        <w:pStyle w:val="5"/>
        <w:widowControl/>
        <w:numPr>
          <w:ilvl w:val="0"/>
          <w:numId w:val="14"/>
        </w:numPr>
        <w:spacing w:before="120" w:beforeLines="50" w:after="120" w:afterLines="50" w:line="360" w:lineRule="auto"/>
        <w:ind w:left="562" w:hanging="562"/>
        <w:rPr>
          <w:rFonts w:ascii="宋体" w:eastAsia="宋体"/>
          <w:sz w:val="28"/>
          <w:szCs w:val="28"/>
        </w:rPr>
      </w:pPr>
      <w:r>
        <w:rPr>
          <w:rFonts w:hint="eastAsia" w:ascii="宋体" w:eastAsia="宋体"/>
          <w:sz w:val="28"/>
          <w:szCs w:val="28"/>
        </w:rPr>
        <w:t>评审要求</w:t>
      </w:r>
    </w:p>
    <w:p w14:paraId="4DA7B8A8">
      <w:pPr>
        <w:spacing w:line="360" w:lineRule="auto"/>
        <w:rPr>
          <w:rFonts w:ascii="宋体" w:eastAsia="宋体"/>
          <w:b/>
          <w:bCs/>
          <w:szCs w:val="21"/>
        </w:rPr>
      </w:pPr>
      <w:r>
        <w:rPr>
          <w:rFonts w:hint="eastAsia" w:ascii="宋体" w:eastAsia="宋体"/>
          <w:b/>
          <w:bCs/>
          <w:szCs w:val="21"/>
        </w:rPr>
        <w:t>29．评审委员会组成</w:t>
      </w:r>
    </w:p>
    <w:p w14:paraId="2CFA0B29">
      <w:pPr>
        <w:spacing w:line="360" w:lineRule="auto"/>
        <w:ind w:firstLine="411" w:firstLineChars="196"/>
        <w:rPr>
          <w:rFonts w:ascii="宋体" w:eastAsia="宋体"/>
          <w:szCs w:val="21"/>
        </w:rPr>
      </w:pPr>
      <w:r>
        <w:rPr>
          <w:rFonts w:hint="eastAsia" w:ascii="宋体" w:eastAsia="宋体"/>
          <w:szCs w:val="21"/>
        </w:rPr>
        <w:t>29.1网上开标结束后召开评审会议，评审委员会由采购代理机构依法组建，负责评审活动。</w:t>
      </w:r>
    </w:p>
    <w:p w14:paraId="31D2EE8C">
      <w:pPr>
        <w:spacing w:line="360" w:lineRule="auto"/>
        <w:ind w:firstLine="411" w:firstLineChars="196"/>
        <w:rPr>
          <w:rFonts w:ascii="宋体" w:eastAsia="宋体"/>
          <w:szCs w:val="21"/>
        </w:rPr>
      </w:pPr>
      <w:bookmarkStart w:id="60" w:name="_Hlk72436580"/>
      <w:r>
        <w:rPr>
          <w:rFonts w:hint="eastAsia" w:ascii="宋体" w:eastAsia="宋体"/>
          <w:szCs w:val="21"/>
        </w:rPr>
        <w:t>评审委员会由采购人代表和评审专家组成，成员人数应当为5人以上单数（部分条件下为7人以上单数），其中评审专家不得少于成员总数的三分之二。</w:t>
      </w:r>
      <w:bookmarkEnd w:id="60"/>
      <w:r>
        <w:rPr>
          <w:rFonts w:hint="eastAsia" w:ascii="宋体" w:eastAsia="宋体"/>
          <w:szCs w:val="21"/>
        </w:rPr>
        <w:t>评定分离项目</w:t>
      </w:r>
      <w:r>
        <w:rPr>
          <w:rFonts w:ascii="宋体" w:eastAsia="宋体"/>
          <w:szCs w:val="21"/>
        </w:rPr>
        <w:t>评审专家</w:t>
      </w:r>
      <w:r>
        <w:rPr>
          <w:rFonts w:hint="eastAsia" w:ascii="宋体" w:eastAsia="宋体"/>
          <w:szCs w:val="21"/>
        </w:rPr>
        <w:t>均</w:t>
      </w:r>
      <w:r>
        <w:rPr>
          <w:rFonts w:ascii="宋体" w:eastAsia="宋体"/>
          <w:szCs w:val="21"/>
        </w:rPr>
        <w:t>由</w:t>
      </w:r>
      <w:r>
        <w:rPr>
          <w:rFonts w:hint="eastAsia" w:ascii="宋体" w:eastAsia="宋体"/>
          <w:szCs w:val="21"/>
        </w:rPr>
        <w:t>评审专家组成。评审专家一般是从深圳市政府采购评审专家库中随机抽取。采购人代表须持本单位签发的《评审授权书》参加评审。</w:t>
      </w:r>
    </w:p>
    <w:p w14:paraId="1A3A6E5A">
      <w:pPr>
        <w:spacing w:line="360" w:lineRule="auto"/>
        <w:ind w:firstLine="411" w:firstLineChars="196"/>
        <w:rPr>
          <w:rFonts w:ascii="宋体" w:eastAsia="宋体"/>
          <w:szCs w:val="21"/>
        </w:rPr>
      </w:pPr>
      <w:r>
        <w:rPr>
          <w:rFonts w:hint="eastAsia" w:ascii="宋体" w:eastAsia="宋体"/>
          <w:szCs w:val="21"/>
        </w:rPr>
        <w:t>29.2评审定标应当遵循公平、公正、科学、择优的原则。</w:t>
      </w:r>
    </w:p>
    <w:p w14:paraId="1DC4E27B">
      <w:pPr>
        <w:spacing w:line="360" w:lineRule="auto"/>
        <w:ind w:firstLine="411" w:firstLineChars="196"/>
        <w:rPr>
          <w:rFonts w:ascii="宋体" w:eastAsia="宋体"/>
          <w:szCs w:val="21"/>
        </w:rPr>
      </w:pPr>
      <w:r>
        <w:rPr>
          <w:rFonts w:hint="eastAsia" w:ascii="宋体" w:eastAsia="宋体"/>
          <w:szCs w:val="21"/>
        </w:rPr>
        <w:t>29.3评审活动依法进行，任何单位和个人不得非法干预评标过程和结果。</w:t>
      </w:r>
    </w:p>
    <w:p w14:paraId="13B2129F">
      <w:pPr>
        <w:spacing w:line="360" w:lineRule="auto"/>
        <w:ind w:firstLine="411" w:firstLineChars="196"/>
        <w:rPr>
          <w:rFonts w:ascii="宋体" w:eastAsia="宋体"/>
          <w:szCs w:val="21"/>
        </w:rPr>
      </w:pPr>
      <w:r>
        <w:rPr>
          <w:rFonts w:hint="eastAsia" w:ascii="宋体" w:eastAsia="宋体"/>
          <w:szCs w:val="21"/>
        </w:rPr>
        <w:t>29.4评审过程中不允许违背评标程序或采用招标文件未载明的评标方法或评标因素进行评标。</w:t>
      </w:r>
    </w:p>
    <w:p w14:paraId="31131785">
      <w:pPr>
        <w:spacing w:line="360" w:lineRule="auto"/>
        <w:ind w:firstLine="411" w:firstLineChars="196"/>
        <w:rPr>
          <w:rFonts w:ascii="宋体" w:eastAsia="宋体"/>
          <w:bCs/>
          <w:szCs w:val="21"/>
        </w:rPr>
      </w:pPr>
      <w:r>
        <w:rPr>
          <w:rFonts w:hint="eastAsia" w:ascii="宋体" w:eastAsia="宋体"/>
          <w:bCs/>
          <w:szCs w:val="21"/>
        </w:rPr>
        <w:t>29.5 开标后，直到签订合同为止，凡属于对投标文件的审查、澄清、评价和比较的有关资料以及中标候选人的推荐情况、与评审有关的其他任何情况均严格保密（</w:t>
      </w:r>
      <w:r>
        <w:rPr>
          <w:rFonts w:hint="eastAsia" w:ascii="宋体" w:eastAsia="宋体"/>
          <w:szCs w:val="21"/>
        </w:rPr>
        <w:t>信息公开的内容除外</w:t>
      </w:r>
      <w:r>
        <w:rPr>
          <w:rFonts w:hint="eastAsia" w:ascii="宋体" w:eastAsia="宋体"/>
          <w:bCs/>
          <w:szCs w:val="21"/>
        </w:rPr>
        <w:t>）。</w:t>
      </w:r>
    </w:p>
    <w:p w14:paraId="21005C5F">
      <w:pPr>
        <w:spacing w:line="360" w:lineRule="auto"/>
        <w:rPr>
          <w:rFonts w:ascii="宋体" w:eastAsia="宋体"/>
          <w:b/>
          <w:bCs/>
          <w:szCs w:val="21"/>
        </w:rPr>
      </w:pPr>
      <w:r>
        <w:rPr>
          <w:rFonts w:hint="eastAsia" w:ascii="宋体" w:eastAsia="宋体"/>
          <w:b/>
          <w:bCs/>
          <w:szCs w:val="21"/>
        </w:rPr>
        <w:t>30．向评审委员会提供的资料</w:t>
      </w:r>
    </w:p>
    <w:p w14:paraId="71B3D0C1">
      <w:pPr>
        <w:spacing w:line="360" w:lineRule="auto"/>
        <w:ind w:firstLine="411" w:firstLineChars="196"/>
        <w:rPr>
          <w:rFonts w:ascii="宋体" w:eastAsia="宋体"/>
          <w:szCs w:val="21"/>
        </w:rPr>
      </w:pPr>
      <w:r>
        <w:rPr>
          <w:rFonts w:hint="eastAsia" w:ascii="宋体" w:eastAsia="宋体"/>
          <w:szCs w:val="21"/>
        </w:rPr>
        <w:t>30.1公开发布的招标文件，包括图纸、服务清单、答疑文件等；</w:t>
      </w:r>
    </w:p>
    <w:p w14:paraId="2FA0EAFA">
      <w:pPr>
        <w:spacing w:line="360" w:lineRule="auto"/>
        <w:ind w:firstLine="411" w:firstLineChars="196"/>
        <w:rPr>
          <w:rFonts w:ascii="宋体" w:eastAsia="宋体"/>
          <w:szCs w:val="21"/>
        </w:rPr>
      </w:pPr>
      <w:r>
        <w:rPr>
          <w:rFonts w:hint="eastAsia" w:ascii="宋体" w:eastAsia="宋体"/>
          <w:szCs w:val="21"/>
        </w:rPr>
        <w:t>30.2其他评标必须的资料。</w:t>
      </w:r>
    </w:p>
    <w:p w14:paraId="2387AC1B">
      <w:pPr>
        <w:spacing w:line="360" w:lineRule="auto"/>
        <w:ind w:firstLine="411" w:firstLineChars="196"/>
        <w:rPr>
          <w:rFonts w:ascii="宋体" w:eastAsia="宋体"/>
          <w:szCs w:val="21"/>
        </w:rPr>
      </w:pPr>
      <w:r>
        <w:rPr>
          <w:rFonts w:hint="eastAsia" w:ascii="宋体" w:eastAsia="宋体"/>
          <w:szCs w:val="21"/>
        </w:rPr>
        <w:t>30.3评审委员会应当认真研究招标文件，至少应了解熟悉以下内容：</w:t>
      </w:r>
    </w:p>
    <w:p w14:paraId="2AF125F8">
      <w:pPr>
        <w:spacing w:line="360" w:lineRule="auto"/>
        <w:ind w:firstLine="411" w:firstLineChars="196"/>
        <w:rPr>
          <w:rFonts w:ascii="宋体" w:eastAsia="宋体"/>
          <w:szCs w:val="21"/>
        </w:rPr>
      </w:pPr>
      <w:r>
        <w:rPr>
          <w:rFonts w:hint="eastAsia" w:ascii="宋体" w:eastAsia="宋体"/>
          <w:szCs w:val="21"/>
        </w:rPr>
        <w:t>（1）招标的目的；</w:t>
      </w:r>
    </w:p>
    <w:p w14:paraId="0E0C2060">
      <w:pPr>
        <w:spacing w:line="360" w:lineRule="auto"/>
        <w:ind w:firstLine="411" w:firstLineChars="196"/>
        <w:rPr>
          <w:rFonts w:ascii="宋体" w:eastAsia="宋体"/>
          <w:szCs w:val="21"/>
        </w:rPr>
      </w:pPr>
      <w:r>
        <w:rPr>
          <w:rFonts w:hint="eastAsia" w:ascii="宋体" w:eastAsia="宋体"/>
          <w:szCs w:val="21"/>
        </w:rPr>
        <w:t>（2）招标项目需求的范围和性质；</w:t>
      </w:r>
    </w:p>
    <w:p w14:paraId="78D228EA">
      <w:pPr>
        <w:spacing w:line="360" w:lineRule="auto"/>
        <w:ind w:firstLine="411" w:firstLineChars="196"/>
        <w:rPr>
          <w:rFonts w:ascii="宋体" w:eastAsia="宋体"/>
          <w:szCs w:val="21"/>
        </w:rPr>
      </w:pPr>
      <w:r>
        <w:rPr>
          <w:rFonts w:hint="eastAsia" w:ascii="宋体" w:eastAsia="宋体"/>
          <w:szCs w:val="21"/>
        </w:rPr>
        <w:t>（3）招标文件规定的投标人的资格、财政预算限额、商务条款；</w:t>
      </w:r>
    </w:p>
    <w:p w14:paraId="165317B8">
      <w:pPr>
        <w:spacing w:line="360" w:lineRule="auto"/>
        <w:ind w:firstLine="411" w:firstLineChars="196"/>
        <w:rPr>
          <w:rFonts w:ascii="宋体" w:eastAsia="宋体"/>
          <w:szCs w:val="21"/>
        </w:rPr>
      </w:pPr>
      <w:r>
        <w:rPr>
          <w:rFonts w:hint="eastAsia" w:ascii="宋体" w:eastAsia="宋体"/>
          <w:szCs w:val="21"/>
        </w:rPr>
        <w:t>（4）招标文件规定的评标程序、评标方法和评标因素；</w:t>
      </w:r>
    </w:p>
    <w:p w14:paraId="4A820E61">
      <w:pPr>
        <w:spacing w:line="360" w:lineRule="auto"/>
        <w:ind w:firstLine="411" w:firstLineChars="196"/>
        <w:rPr>
          <w:rFonts w:ascii="宋体" w:eastAsia="宋体"/>
          <w:szCs w:val="21"/>
        </w:rPr>
      </w:pPr>
      <w:r>
        <w:rPr>
          <w:rFonts w:hint="eastAsia" w:ascii="宋体" w:eastAsia="宋体"/>
          <w:szCs w:val="21"/>
        </w:rPr>
        <w:t>（5）招标文件所列示的资格性审查表及符合性审查表。</w:t>
      </w:r>
    </w:p>
    <w:p w14:paraId="34C2175E">
      <w:pPr>
        <w:spacing w:line="360" w:lineRule="auto"/>
        <w:rPr>
          <w:rFonts w:ascii="宋体" w:eastAsia="宋体"/>
          <w:b/>
          <w:bCs/>
          <w:szCs w:val="21"/>
        </w:rPr>
      </w:pPr>
      <w:r>
        <w:rPr>
          <w:rFonts w:hint="eastAsia" w:ascii="宋体" w:eastAsia="宋体"/>
          <w:b/>
          <w:bCs/>
          <w:szCs w:val="21"/>
        </w:rPr>
        <w:t>31．独立评审</w:t>
      </w:r>
    </w:p>
    <w:p w14:paraId="4B7B003A">
      <w:pPr>
        <w:spacing w:line="360" w:lineRule="auto"/>
        <w:ind w:firstLine="411" w:firstLineChars="196"/>
        <w:rPr>
          <w:rFonts w:ascii="宋体" w:eastAsia="宋体"/>
          <w:bCs/>
          <w:szCs w:val="21"/>
        </w:rPr>
      </w:pPr>
      <w:r>
        <w:rPr>
          <w:rFonts w:hint="eastAsia" w:ascii="宋体" w:eastAsia="宋体"/>
          <w:bCs/>
          <w:szCs w:val="21"/>
        </w:rPr>
        <w:t>3</w:t>
      </w:r>
      <w:r>
        <w:rPr>
          <w:rFonts w:ascii="宋体" w:eastAsia="宋体"/>
          <w:bCs/>
          <w:szCs w:val="21"/>
        </w:rPr>
        <w:t>1</w:t>
      </w:r>
      <w:r>
        <w:rPr>
          <w:rFonts w:hint="eastAsia" w:ascii="宋体" w:eastAsia="宋体"/>
          <w:bCs/>
          <w:szCs w:val="21"/>
        </w:rPr>
        <w:t>.1</w:t>
      </w:r>
      <w:r>
        <w:rPr>
          <w:rFonts w:hint="eastAsia" w:ascii="宋体" w:eastAsia="宋体"/>
          <w:szCs w:val="21"/>
        </w:rPr>
        <w:t>评审委员会</w:t>
      </w:r>
      <w:r>
        <w:rPr>
          <w:rFonts w:hint="eastAsia" w:ascii="宋体" w:eastAsia="宋体"/>
          <w:bCs/>
          <w:szCs w:val="21"/>
        </w:rPr>
        <w:t>成员的评标活动应当独立进行，并应遵循投标文件初审、澄清有关问题、比较与评价、确定中标供应商、编写评审报告的工作程序。</w:t>
      </w:r>
    </w:p>
    <w:p w14:paraId="6AA5A843">
      <w:pPr>
        <w:pStyle w:val="5"/>
        <w:widowControl/>
        <w:numPr>
          <w:ilvl w:val="0"/>
          <w:numId w:val="14"/>
        </w:numPr>
        <w:spacing w:before="120" w:beforeLines="50" w:after="120" w:afterLines="50" w:line="360" w:lineRule="auto"/>
        <w:ind w:left="562" w:hanging="562"/>
        <w:rPr>
          <w:rFonts w:ascii="宋体" w:eastAsia="宋体"/>
          <w:sz w:val="28"/>
          <w:szCs w:val="28"/>
        </w:rPr>
      </w:pPr>
      <w:r>
        <w:rPr>
          <w:rFonts w:hint="eastAsia" w:ascii="宋体" w:eastAsia="宋体"/>
          <w:sz w:val="28"/>
          <w:szCs w:val="28"/>
        </w:rPr>
        <w:t>评审程序及评审方法</w:t>
      </w:r>
    </w:p>
    <w:p w14:paraId="5AE4BACF">
      <w:pPr>
        <w:spacing w:line="360" w:lineRule="auto"/>
        <w:rPr>
          <w:rFonts w:ascii="宋体" w:eastAsia="宋体"/>
          <w:b/>
          <w:bCs/>
          <w:szCs w:val="21"/>
        </w:rPr>
      </w:pPr>
      <w:r>
        <w:rPr>
          <w:rFonts w:hint="eastAsia" w:ascii="宋体" w:eastAsia="宋体"/>
          <w:b/>
          <w:bCs/>
          <w:szCs w:val="21"/>
        </w:rPr>
        <w:t>32．投标文件初审</w:t>
      </w:r>
    </w:p>
    <w:p w14:paraId="1E3A3018">
      <w:pPr>
        <w:spacing w:line="360" w:lineRule="auto"/>
        <w:ind w:firstLine="411" w:firstLineChars="196"/>
        <w:rPr>
          <w:rFonts w:ascii="宋体" w:eastAsia="宋体"/>
          <w:szCs w:val="21"/>
        </w:rPr>
      </w:pPr>
      <w:r>
        <w:rPr>
          <w:rFonts w:hint="eastAsia" w:ascii="宋体" w:eastAsia="宋体"/>
          <w:szCs w:val="21"/>
        </w:rPr>
        <w:t>32.1投标文件初审包括资格性审查和符合性审查。</w:t>
      </w:r>
    </w:p>
    <w:p w14:paraId="0452C50C">
      <w:pPr>
        <w:spacing w:line="360" w:lineRule="auto"/>
        <w:ind w:firstLine="411" w:firstLineChars="196"/>
        <w:rPr>
          <w:rFonts w:ascii="宋体" w:eastAsia="宋体"/>
          <w:szCs w:val="21"/>
        </w:rPr>
      </w:pPr>
      <w:r>
        <w:rPr>
          <w:rFonts w:hint="eastAsia" w:ascii="宋体" w:eastAsia="宋体"/>
          <w:szCs w:val="21"/>
        </w:rPr>
        <w:t>资格性审查：依据法律法规和招标文件的规定，对投标文件中的资格证明等进行审查，以确定投标供应商是否具备投标资格。</w:t>
      </w:r>
    </w:p>
    <w:p w14:paraId="2F98ED30">
      <w:pPr>
        <w:spacing w:line="360" w:lineRule="auto"/>
        <w:ind w:firstLine="411" w:firstLineChars="196"/>
        <w:rPr>
          <w:rFonts w:ascii="宋体" w:eastAsia="宋体"/>
          <w:szCs w:val="21"/>
        </w:rPr>
      </w:pPr>
      <w:r>
        <w:rPr>
          <w:rFonts w:hint="eastAsia" w:ascii="宋体" w:eastAsia="宋体"/>
          <w:szCs w:val="21"/>
        </w:rPr>
        <w:t>符合性审查：依据招标文件的规定，对投标文件的有效性、完整性和对招标文件的响应程度进行审查，以确定是否满足符合性审查的要求。</w:t>
      </w:r>
    </w:p>
    <w:p w14:paraId="39872FD3">
      <w:pPr>
        <w:spacing w:line="360" w:lineRule="auto"/>
        <w:ind w:firstLine="411" w:firstLineChars="196"/>
        <w:rPr>
          <w:rFonts w:ascii="宋体" w:eastAsia="宋体"/>
          <w:szCs w:val="21"/>
        </w:rPr>
      </w:pPr>
      <w:r>
        <w:rPr>
          <w:rFonts w:hint="eastAsia" w:ascii="宋体" w:eastAsia="宋体"/>
          <w:szCs w:val="21"/>
        </w:rPr>
        <w:t>32.2 投标文件初审内容请详见《资格性审查表》和《符合性审查表》部分。投标人若有一条审查不通过则按投标无效处理。</w:t>
      </w:r>
    </w:p>
    <w:p w14:paraId="1A4283FD">
      <w:pPr>
        <w:spacing w:line="360" w:lineRule="auto"/>
        <w:ind w:firstLine="411" w:firstLineChars="196"/>
        <w:rPr>
          <w:rFonts w:ascii="宋体" w:eastAsia="宋体"/>
          <w:bCs/>
          <w:szCs w:val="21"/>
        </w:rPr>
      </w:pPr>
      <w:r>
        <w:rPr>
          <w:rFonts w:hint="eastAsia" w:ascii="宋体" w:eastAsia="宋体"/>
          <w:bCs/>
          <w:szCs w:val="21"/>
        </w:rPr>
        <w:t>32.3 投标文件初审中关于供应商家数的计算:</w:t>
      </w:r>
    </w:p>
    <w:p w14:paraId="218F0926">
      <w:pPr>
        <w:spacing w:line="360" w:lineRule="auto"/>
        <w:ind w:firstLine="411" w:firstLineChars="196"/>
        <w:rPr>
          <w:rFonts w:ascii="宋体" w:eastAsia="宋体"/>
          <w:bCs/>
          <w:szCs w:val="21"/>
        </w:rPr>
      </w:pPr>
      <w:r>
        <w:rPr>
          <w:rFonts w:hint="eastAsia" w:ascii="宋体" w:eastAsia="宋体"/>
          <w:bCs/>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0DB50AD4">
      <w:pPr>
        <w:spacing w:line="360" w:lineRule="auto"/>
        <w:ind w:firstLine="411" w:firstLineChars="196"/>
        <w:rPr>
          <w:rFonts w:ascii="宋体" w:eastAsia="宋体"/>
          <w:bCs/>
          <w:szCs w:val="21"/>
        </w:rPr>
      </w:pPr>
      <w:r>
        <w:rPr>
          <w:rFonts w:hint="eastAsia" w:ascii="宋体" w:eastAsia="宋体"/>
          <w:bCs/>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20248B">
      <w:pPr>
        <w:spacing w:line="360" w:lineRule="auto"/>
        <w:ind w:firstLine="411" w:firstLineChars="196"/>
        <w:rPr>
          <w:rFonts w:ascii="宋体" w:eastAsia="宋体"/>
          <w:bCs/>
          <w:szCs w:val="21"/>
        </w:rPr>
      </w:pPr>
      <w:r>
        <w:rPr>
          <w:rFonts w:hint="eastAsia" w:ascii="宋体" w:eastAsia="宋体"/>
          <w:bCs/>
          <w:szCs w:val="21"/>
        </w:rPr>
        <w:t>32.3.3非单一产品采购项目，采购人应当根据采购项目技术构成、产品价格比重等合理确定核心产品，并在招标文件中载明。多家投标人提供的核心产品品牌相同的，按前两款规定处理。</w:t>
      </w:r>
    </w:p>
    <w:p w14:paraId="67EFAF76">
      <w:pPr>
        <w:spacing w:line="360" w:lineRule="auto"/>
        <w:ind w:firstLine="411" w:firstLineChars="196"/>
        <w:rPr>
          <w:rFonts w:ascii="宋体" w:eastAsia="宋体"/>
          <w:szCs w:val="21"/>
        </w:rPr>
      </w:pPr>
      <w:r>
        <w:rPr>
          <w:rFonts w:hint="eastAsia" w:ascii="宋体" w:eastAsia="宋体"/>
          <w:szCs w:val="21"/>
        </w:rPr>
        <w:t>32.4投标人投标文件作无效处理的情形，具体包括但不限于以下：</w:t>
      </w:r>
    </w:p>
    <w:p w14:paraId="2DDBCC7D">
      <w:pPr>
        <w:spacing w:line="360" w:lineRule="auto"/>
        <w:ind w:firstLine="411" w:firstLineChars="196"/>
        <w:rPr>
          <w:rFonts w:ascii="宋体" w:eastAsia="宋体"/>
          <w:szCs w:val="21"/>
        </w:rPr>
      </w:pPr>
      <w:r>
        <w:rPr>
          <w:rFonts w:hint="eastAsia" w:ascii="宋体" w:eastAsia="宋体"/>
          <w:szCs w:val="21"/>
        </w:rPr>
        <w:t>32.4.1不同投标人的投标文件由同一单位或者同一个人编制，或者由同一个人分阶段参与编制；</w:t>
      </w:r>
    </w:p>
    <w:p w14:paraId="03AAD93F">
      <w:pPr>
        <w:spacing w:line="360" w:lineRule="auto"/>
        <w:ind w:firstLine="411" w:firstLineChars="196"/>
        <w:rPr>
          <w:rFonts w:ascii="宋体" w:eastAsia="宋体"/>
          <w:szCs w:val="21"/>
        </w:rPr>
      </w:pPr>
      <w:r>
        <w:rPr>
          <w:rFonts w:ascii="宋体" w:eastAsia="宋体"/>
          <w:szCs w:val="21"/>
        </w:rPr>
        <w:t>32.4.</w:t>
      </w:r>
      <w:r>
        <w:rPr>
          <w:rFonts w:hint="eastAsia" w:ascii="宋体" w:eastAsia="宋体"/>
          <w:szCs w:val="21"/>
        </w:rPr>
        <w:t>2不同投标人委托同一单位或者个人办理投标事宜；</w:t>
      </w:r>
    </w:p>
    <w:p w14:paraId="124E194C">
      <w:pPr>
        <w:spacing w:line="360" w:lineRule="auto"/>
        <w:ind w:firstLine="411" w:firstLineChars="196"/>
        <w:rPr>
          <w:rFonts w:ascii="宋体" w:eastAsia="宋体"/>
          <w:szCs w:val="21"/>
        </w:rPr>
      </w:pPr>
      <w:r>
        <w:rPr>
          <w:rFonts w:hint="eastAsia" w:ascii="宋体" w:eastAsia="宋体"/>
          <w:szCs w:val="21"/>
        </w:rPr>
        <w:t>32.4.3不同投标人的投标文件载明的项目管理成员或者联系人员为同一人；</w:t>
      </w:r>
    </w:p>
    <w:p w14:paraId="51C1365F">
      <w:pPr>
        <w:spacing w:line="360" w:lineRule="auto"/>
        <w:ind w:firstLine="411" w:firstLineChars="196"/>
        <w:rPr>
          <w:rFonts w:ascii="宋体" w:eastAsia="宋体"/>
          <w:szCs w:val="21"/>
        </w:rPr>
      </w:pPr>
      <w:r>
        <w:rPr>
          <w:rFonts w:hint="eastAsia" w:ascii="宋体" w:eastAsia="宋体"/>
          <w:szCs w:val="21"/>
        </w:rPr>
        <w:t>32.4.4不同投标人的投标文件异常一致或者投标报价呈规律性差异；</w:t>
      </w:r>
    </w:p>
    <w:p w14:paraId="13A4FF63">
      <w:pPr>
        <w:spacing w:line="360" w:lineRule="auto"/>
        <w:ind w:firstLine="411" w:firstLineChars="196"/>
        <w:rPr>
          <w:rFonts w:ascii="宋体" w:eastAsia="宋体"/>
          <w:szCs w:val="21"/>
        </w:rPr>
      </w:pPr>
      <w:r>
        <w:rPr>
          <w:rFonts w:hint="eastAsia" w:ascii="宋体" w:eastAsia="宋体"/>
          <w:szCs w:val="21"/>
        </w:rPr>
        <w:t>32.4.5</w:t>
      </w:r>
      <w:r>
        <w:rPr>
          <w:rFonts w:ascii="宋体" w:eastAsia="宋体"/>
          <w:szCs w:val="21"/>
        </w:rPr>
        <w:t>不同投标供应商的投标文件或部分投标文件相互混装</w:t>
      </w:r>
      <w:r>
        <w:rPr>
          <w:rFonts w:hint="eastAsia" w:ascii="宋体" w:eastAsia="宋体"/>
          <w:szCs w:val="21"/>
        </w:rPr>
        <w:t>；</w:t>
      </w:r>
    </w:p>
    <w:p w14:paraId="74478095">
      <w:pPr>
        <w:spacing w:line="360" w:lineRule="auto"/>
        <w:ind w:firstLine="411" w:firstLineChars="196"/>
        <w:rPr>
          <w:rFonts w:ascii="宋体" w:eastAsia="宋体"/>
          <w:szCs w:val="21"/>
        </w:rPr>
      </w:pPr>
      <w:r>
        <w:rPr>
          <w:rFonts w:hint="eastAsia" w:ascii="宋体" w:eastAsia="宋体"/>
          <w:szCs w:val="21"/>
        </w:rPr>
        <w:t>32.4.6投标供应商之间相互约定给予未中标的供应商利益补偿；</w:t>
      </w:r>
    </w:p>
    <w:p w14:paraId="728E3274">
      <w:pPr>
        <w:spacing w:line="360" w:lineRule="auto"/>
        <w:ind w:firstLine="411" w:firstLineChars="196"/>
        <w:rPr>
          <w:rFonts w:ascii="宋体" w:eastAsia="宋体"/>
          <w:szCs w:val="21"/>
        </w:rPr>
      </w:pPr>
      <w:r>
        <w:rPr>
          <w:rFonts w:hint="eastAsia" w:ascii="宋体" w:eastAsia="宋体"/>
          <w:szCs w:val="21"/>
        </w:rPr>
        <w:t>32.4.7不同投标供应商的法定代表人、主要经营负责人、项目投标授权代表人、项目负责人、主要技术人员为同一人、属同一单位或者同一单位缴纳社会保险；</w:t>
      </w:r>
    </w:p>
    <w:p w14:paraId="053D5A7A">
      <w:pPr>
        <w:spacing w:line="360" w:lineRule="auto"/>
        <w:ind w:firstLine="411" w:firstLineChars="196"/>
        <w:rPr>
          <w:rFonts w:ascii="宋体" w:eastAsia="宋体"/>
          <w:szCs w:val="21"/>
        </w:rPr>
      </w:pPr>
      <w:r>
        <w:rPr>
          <w:rFonts w:hint="eastAsia" w:ascii="宋体" w:eastAsia="宋体"/>
          <w:szCs w:val="21"/>
        </w:rPr>
        <w:t>32.4.8不同投标供应商的投标文件内容存在非正常一致；</w:t>
      </w:r>
    </w:p>
    <w:p w14:paraId="016DC996">
      <w:pPr>
        <w:spacing w:line="360" w:lineRule="auto"/>
        <w:ind w:firstLine="411" w:firstLineChars="196"/>
        <w:rPr>
          <w:rFonts w:ascii="宋体" w:eastAsia="宋体"/>
          <w:szCs w:val="21"/>
        </w:rPr>
      </w:pPr>
      <w:r>
        <w:rPr>
          <w:rFonts w:hint="eastAsia" w:ascii="宋体" w:eastAsia="宋体"/>
          <w:szCs w:val="21"/>
        </w:rPr>
        <w:t>32.4.9在同一单位工作人员为两家以上（含两家）供应商进行同一项投标活动；</w:t>
      </w:r>
    </w:p>
    <w:p w14:paraId="53E4B7EC">
      <w:pPr>
        <w:spacing w:line="360" w:lineRule="auto"/>
        <w:ind w:firstLine="411" w:firstLineChars="196"/>
        <w:rPr>
          <w:rFonts w:ascii="宋体" w:eastAsia="宋体"/>
          <w:szCs w:val="21"/>
        </w:rPr>
      </w:pPr>
      <w:r>
        <w:rPr>
          <w:rFonts w:hint="eastAsia" w:ascii="宋体" w:eastAsia="宋体"/>
          <w:szCs w:val="21"/>
        </w:rPr>
        <w:t>32.4.10主管部门依照法律、法规认定的其他情形。</w:t>
      </w:r>
    </w:p>
    <w:p w14:paraId="3AE20B79">
      <w:pPr>
        <w:spacing w:line="360" w:lineRule="auto"/>
        <w:ind w:firstLine="411" w:firstLineChars="196"/>
        <w:rPr>
          <w:rFonts w:ascii="宋体" w:eastAsia="宋体"/>
          <w:szCs w:val="21"/>
        </w:rPr>
      </w:pPr>
      <w:r>
        <w:rPr>
          <w:rFonts w:hint="eastAsia" w:ascii="宋体" w:eastAsia="宋体"/>
          <w:szCs w:val="21"/>
        </w:rPr>
        <w:t>32.5对不属于《资格性审查表》和《符合性审查表》所列的其他情形，除专用条款另有规定和32.4条款所列情形外，不得作为投标无效的理由。</w:t>
      </w:r>
    </w:p>
    <w:p w14:paraId="2BDE8B97">
      <w:pPr>
        <w:spacing w:line="360" w:lineRule="auto"/>
        <w:rPr>
          <w:rFonts w:ascii="宋体" w:eastAsia="宋体"/>
          <w:b/>
          <w:bCs/>
          <w:szCs w:val="21"/>
        </w:rPr>
      </w:pPr>
      <w:r>
        <w:rPr>
          <w:rFonts w:hint="eastAsia" w:ascii="宋体" w:eastAsia="宋体"/>
          <w:b/>
          <w:bCs/>
          <w:szCs w:val="21"/>
        </w:rPr>
        <w:t>33．澄清有关问题</w:t>
      </w:r>
    </w:p>
    <w:p w14:paraId="6DDD3E74">
      <w:pPr>
        <w:spacing w:line="360" w:lineRule="auto"/>
        <w:ind w:firstLine="411" w:firstLineChars="196"/>
        <w:rPr>
          <w:rFonts w:ascii="宋体" w:eastAsia="宋体"/>
          <w:szCs w:val="21"/>
        </w:rPr>
      </w:pPr>
      <w:bookmarkStart w:id="61" w:name="_Hlk71407321"/>
      <w:r>
        <w:rPr>
          <w:rFonts w:hint="eastAsia" w:ascii="宋体" w:eastAsia="宋体"/>
          <w:szCs w:val="21"/>
        </w:rPr>
        <w:t>3</w:t>
      </w:r>
      <w:r>
        <w:rPr>
          <w:rFonts w:ascii="宋体" w:eastAsia="宋体"/>
          <w:szCs w:val="21"/>
        </w:rPr>
        <w:t>3.1</w:t>
      </w:r>
      <w:r>
        <w:rPr>
          <w:rFonts w:hint="eastAsia" w:ascii="宋体" w:eastAsia="宋体"/>
          <w:szCs w:val="21"/>
        </w:rPr>
        <w:t>对招标文件中描述有歧义或前后不一致的地方（不含</w:t>
      </w:r>
      <w:r>
        <w:rPr>
          <w:rFonts w:ascii="宋体" w:eastAsia="宋体"/>
          <w:szCs w:val="21"/>
        </w:rPr>
        <w:t>招标文件存在歧义、重大缺陷导致评</w:t>
      </w:r>
      <w:r>
        <w:rPr>
          <w:rFonts w:hint="eastAsia" w:ascii="宋体" w:eastAsia="宋体"/>
          <w:szCs w:val="21"/>
        </w:rPr>
        <w:t>审</w:t>
      </w:r>
      <w:r>
        <w:rPr>
          <w:rFonts w:ascii="宋体" w:eastAsia="宋体"/>
          <w:szCs w:val="21"/>
        </w:rPr>
        <w:t>工作无法进行</w:t>
      </w:r>
      <w:r>
        <w:rPr>
          <w:rFonts w:hint="eastAsia" w:ascii="宋体" w:eastAsia="宋体"/>
          <w:szCs w:val="21"/>
        </w:rPr>
        <w:t>的情况），评审委员会有权进行评判，但对同一条款的评判应适用于每个投标人。</w:t>
      </w:r>
      <w:bookmarkEnd w:id="61"/>
    </w:p>
    <w:p w14:paraId="4833C662">
      <w:pPr>
        <w:spacing w:line="360" w:lineRule="auto"/>
        <w:ind w:firstLine="411" w:firstLineChars="196"/>
        <w:rPr>
          <w:rFonts w:ascii="宋体" w:eastAsia="宋体"/>
          <w:szCs w:val="21"/>
        </w:rPr>
      </w:pPr>
      <w:r>
        <w:rPr>
          <w:rFonts w:hint="eastAsia" w:ascii="宋体" w:eastAsia="宋体"/>
          <w:szCs w:val="21"/>
        </w:rPr>
        <w:t>3</w:t>
      </w:r>
      <w:r>
        <w:rPr>
          <w:rFonts w:ascii="宋体" w:eastAsia="宋体"/>
          <w:szCs w:val="21"/>
        </w:rPr>
        <w:t>3.2评</w:t>
      </w:r>
      <w:r>
        <w:rPr>
          <w:rFonts w:hint="eastAsia" w:ascii="宋体" w:eastAsia="宋体"/>
          <w:szCs w:val="21"/>
        </w:rPr>
        <w:t>审</w:t>
      </w:r>
      <w:r>
        <w:rPr>
          <w:rFonts w:ascii="宋体" w:eastAsia="宋体"/>
          <w:szCs w:val="21"/>
        </w:rPr>
        <w:t>委员会发现招标文件存在歧义、重大缺陷导致评</w:t>
      </w:r>
      <w:r>
        <w:rPr>
          <w:rFonts w:hint="eastAsia" w:ascii="宋体" w:eastAsia="宋体"/>
          <w:szCs w:val="21"/>
        </w:rPr>
        <w:t>审</w:t>
      </w:r>
      <w:r>
        <w:rPr>
          <w:rFonts w:ascii="宋体" w:eastAsia="宋体"/>
          <w:szCs w:val="21"/>
        </w:rPr>
        <w:t>工作无法进行，或者招标文件内容违反国家有关强制性规定的，应当停止评</w:t>
      </w:r>
      <w:r>
        <w:rPr>
          <w:rFonts w:hint="eastAsia" w:ascii="宋体" w:eastAsia="宋体"/>
          <w:szCs w:val="21"/>
        </w:rPr>
        <w:t>审</w:t>
      </w:r>
      <w:r>
        <w:rPr>
          <w:rFonts w:ascii="宋体" w:eastAsia="宋体"/>
          <w:szCs w:val="21"/>
        </w:rPr>
        <w:t>工作，与</w:t>
      </w:r>
      <w:r>
        <w:rPr>
          <w:rFonts w:hint="eastAsia" w:ascii="宋体" w:eastAsia="宋体"/>
          <w:szCs w:val="21"/>
        </w:rPr>
        <w:t>采购代理机构</w:t>
      </w:r>
      <w:r>
        <w:rPr>
          <w:rFonts w:ascii="宋体" w:eastAsia="宋体"/>
          <w:szCs w:val="21"/>
        </w:rPr>
        <w:t>沟通并作书面记录。</w:t>
      </w:r>
      <w:r>
        <w:rPr>
          <w:rFonts w:hint="eastAsia" w:ascii="宋体" w:eastAsia="宋体"/>
          <w:szCs w:val="21"/>
        </w:rPr>
        <w:t>经</w:t>
      </w:r>
      <w:r>
        <w:rPr>
          <w:rFonts w:ascii="宋体" w:eastAsia="宋体"/>
          <w:szCs w:val="21"/>
        </w:rPr>
        <w:t>确认后，</w:t>
      </w:r>
      <w:r>
        <w:rPr>
          <w:rFonts w:hint="eastAsia" w:ascii="宋体" w:eastAsia="宋体"/>
          <w:szCs w:val="21"/>
        </w:rPr>
        <w:t>项目</w:t>
      </w:r>
      <w:r>
        <w:rPr>
          <w:rFonts w:ascii="宋体" w:eastAsia="宋体"/>
          <w:szCs w:val="21"/>
        </w:rPr>
        <w:t>应当修改招标文件，重新组织采购活动。</w:t>
      </w:r>
    </w:p>
    <w:p w14:paraId="6EF58BD4">
      <w:pPr>
        <w:spacing w:line="360" w:lineRule="auto"/>
        <w:ind w:firstLine="411" w:firstLineChars="196"/>
        <w:rPr>
          <w:rFonts w:ascii="宋体" w:eastAsia="宋体"/>
          <w:szCs w:val="21"/>
        </w:rPr>
      </w:pPr>
      <w:r>
        <w:rPr>
          <w:rFonts w:ascii="宋体" w:eastAsia="宋体"/>
          <w:szCs w:val="21"/>
        </w:rPr>
        <w:t>33.3</w:t>
      </w:r>
      <w:r>
        <w:rPr>
          <w:rFonts w:hint="eastAsia" w:ascii="宋体" w:eastAsia="宋体"/>
          <w:szCs w:val="21"/>
        </w:rPr>
        <w:t>对于投标文件中含义不明确、同类问题表述不一致或者有明显文字和计算错误的内容，评审委员会应当以书面形式要求投标人作出必要的澄清、说明或者补正。</w:t>
      </w:r>
    </w:p>
    <w:p w14:paraId="2B81E655">
      <w:pPr>
        <w:spacing w:line="360" w:lineRule="auto"/>
        <w:ind w:firstLine="411" w:firstLineChars="196"/>
        <w:rPr>
          <w:rFonts w:ascii="宋体" w:eastAsia="宋体"/>
          <w:szCs w:val="21"/>
        </w:rPr>
      </w:pPr>
      <w:r>
        <w:rPr>
          <w:rFonts w:hint="eastAsia" w:ascii="宋体" w:eastAsia="宋体"/>
          <w:szCs w:val="21"/>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383DB3B5">
      <w:pPr>
        <w:spacing w:line="360" w:lineRule="auto"/>
        <w:ind w:firstLine="411" w:firstLineChars="196"/>
        <w:rPr>
          <w:rFonts w:ascii="宋体" w:eastAsia="宋体"/>
          <w:szCs w:val="21"/>
        </w:rPr>
      </w:pPr>
      <w:r>
        <w:rPr>
          <w:rFonts w:hint="eastAsia" w:ascii="宋体" w:eastAsia="宋体"/>
          <w:szCs w:val="21"/>
        </w:rPr>
        <w:t>根据本通用条款第34条，凡属于评审委员会在评审中发现的算术错误进行核实的修改不在此列。</w:t>
      </w:r>
    </w:p>
    <w:p w14:paraId="2686DBDA">
      <w:pPr>
        <w:spacing w:line="360" w:lineRule="auto"/>
        <w:rPr>
          <w:rFonts w:ascii="宋体" w:eastAsia="宋体"/>
          <w:b/>
          <w:bCs/>
          <w:szCs w:val="21"/>
        </w:rPr>
      </w:pPr>
      <w:bookmarkStart w:id="62" w:name="_Toc73521669"/>
      <w:bookmarkStart w:id="63" w:name="_Toc100052400"/>
      <w:bookmarkStart w:id="64" w:name="_Toc73517673"/>
      <w:bookmarkStart w:id="65" w:name="_Toc73518151"/>
      <w:bookmarkStart w:id="66" w:name="_Toc73521581"/>
      <w:r>
        <w:rPr>
          <w:rFonts w:hint="eastAsia" w:ascii="宋体" w:eastAsia="宋体"/>
          <w:b/>
          <w:bCs/>
          <w:szCs w:val="21"/>
        </w:rPr>
        <w:t>34．错误的修正</w:t>
      </w:r>
      <w:bookmarkEnd w:id="62"/>
      <w:bookmarkEnd w:id="63"/>
      <w:bookmarkEnd w:id="64"/>
      <w:bookmarkEnd w:id="65"/>
      <w:bookmarkEnd w:id="66"/>
    </w:p>
    <w:p w14:paraId="4F83163D">
      <w:pPr>
        <w:spacing w:line="360" w:lineRule="auto"/>
        <w:ind w:firstLine="411" w:firstLineChars="196"/>
        <w:rPr>
          <w:rFonts w:ascii="宋体" w:eastAsia="宋体"/>
          <w:szCs w:val="21"/>
        </w:rPr>
      </w:pPr>
      <w:r>
        <w:rPr>
          <w:rFonts w:hint="eastAsia" w:ascii="宋体" w:eastAsia="宋体"/>
          <w:szCs w:val="21"/>
        </w:rPr>
        <w:t>投标文件报价出现前后不一致的，除专用条款另有规定外，按照下列规定修正：</w:t>
      </w:r>
    </w:p>
    <w:p w14:paraId="263FC3DD">
      <w:pPr>
        <w:spacing w:line="360" w:lineRule="auto"/>
        <w:ind w:firstLine="411" w:firstLineChars="196"/>
        <w:rPr>
          <w:rFonts w:ascii="宋体" w:eastAsia="宋体"/>
          <w:szCs w:val="21"/>
        </w:rPr>
      </w:pPr>
      <w:r>
        <w:rPr>
          <w:rFonts w:hint="eastAsia" w:ascii="宋体" w:eastAsia="宋体"/>
          <w:szCs w:val="21"/>
        </w:rPr>
        <w:t>34.1投标文件中开标一览表投标报价内容与投标文件中投标报价相应内容不一致的，以开标一览表为准；</w:t>
      </w:r>
    </w:p>
    <w:p w14:paraId="72EC14E2">
      <w:pPr>
        <w:spacing w:line="360" w:lineRule="auto"/>
        <w:ind w:firstLine="411" w:firstLineChars="196"/>
        <w:rPr>
          <w:rFonts w:ascii="宋体" w:eastAsia="宋体"/>
          <w:szCs w:val="21"/>
        </w:rPr>
      </w:pPr>
      <w:r>
        <w:rPr>
          <w:rFonts w:hint="eastAsia" w:ascii="宋体" w:eastAsia="宋体"/>
          <w:szCs w:val="21"/>
        </w:rPr>
        <w:t>34.2大写金额和小写金额不一致的，以大写金额为准；</w:t>
      </w:r>
    </w:p>
    <w:p w14:paraId="75BBAA7F">
      <w:pPr>
        <w:spacing w:line="360" w:lineRule="auto"/>
        <w:ind w:firstLine="411" w:firstLineChars="196"/>
        <w:rPr>
          <w:rFonts w:ascii="宋体" w:eastAsia="宋体"/>
          <w:szCs w:val="21"/>
        </w:rPr>
      </w:pPr>
      <w:r>
        <w:rPr>
          <w:rFonts w:hint="eastAsia" w:ascii="宋体" w:eastAsia="宋体"/>
          <w:szCs w:val="21"/>
        </w:rPr>
        <w:t>34.3单价金额小数点或者百分比有明显错位，以开标一览表的总价为准，并修改单价；</w:t>
      </w:r>
    </w:p>
    <w:p w14:paraId="02D6D736">
      <w:pPr>
        <w:spacing w:line="360" w:lineRule="auto"/>
        <w:ind w:firstLine="411" w:firstLineChars="196"/>
        <w:rPr>
          <w:rFonts w:ascii="宋体" w:eastAsia="宋体"/>
          <w:szCs w:val="21"/>
        </w:rPr>
      </w:pPr>
      <w:r>
        <w:rPr>
          <w:rFonts w:hint="eastAsia" w:ascii="宋体" w:eastAsia="宋体"/>
          <w:szCs w:val="21"/>
        </w:rPr>
        <w:t>34.4总价金额与按单价汇总金额不一致的，以单价金额计算结果为准。</w:t>
      </w:r>
    </w:p>
    <w:p w14:paraId="3ECB0CA3">
      <w:pPr>
        <w:spacing w:line="360" w:lineRule="auto"/>
        <w:ind w:firstLine="411" w:firstLineChars="196"/>
        <w:rPr>
          <w:rFonts w:ascii="宋体" w:eastAsia="宋体"/>
          <w:szCs w:val="21"/>
        </w:rPr>
      </w:pPr>
      <w:r>
        <w:rPr>
          <w:rFonts w:hint="eastAsia" w:ascii="宋体" w:eastAsia="宋体"/>
          <w:szCs w:val="21"/>
        </w:rPr>
        <w:t>34.5同时出现两种以上不一致的，按照前款规定的顺序修正</w:t>
      </w:r>
      <w:r>
        <w:rPr>
          <w:rFonts w:hint="eastAsia" w:ascii="宋体"/>
          <w:snapToGrid w:val="0"/>
          <w:kern w:val="0"/>
        </w:rPr>
        <w:t>（次序排先者优先）</w:t>
      </w:r>
      <w:r>
        <w:rPr>
          <w:rFonts w:hint="eastAsia" w:ascii="宋体" w:eastAsia="宋体"/>
          <w:szCs w:val="21"/>
        </w:rPr>
        <w:t>。修正后的报价按照本通用条款33条的规定，经投标人确认后产生约束力，投标人不确认的，其投标无效。</w:t>
      </w:r>
    </w:p>
    <w:p w14:paraId="44E135D2">
      <w:pPr>
        <w:spacing w:line="360" w:lineRule="auto"/>
        <w:rPr>
          <w:rFonts w:ascii="宋体" w:eastAsia="宋体"/>
          <w:b/>
          <w:bCs/>
          <w:szCs w:val="21"/>
        </w:rPr>
      </w:pPr>
      <w:r>
        <w:rPr>
          <w:rFonts w:hint="eastAsia" w:ascii="宋体" w:eastAsia="宋体"/>
          <w:b/>
          <w:bCs/>
          <w:szCs w:val="21"/>
        </w:rPr>
        <w:t>35．投标文件的比较与评价</w:t>
      </w:r>
    </w:p>
    <w:p w14:paraId="681FD304">
      <w:pPr>
        <w:spacing w:line="360" w:lineRule="auto"/>
        <w:ind w:firstLine="411" w:firstLineChars="196"/>
        <w:rPr>
          <w:rFonts w:ascii="宋体" w:eastAsia="宋体"/>
          <w:szCs w:val="21"/>
        </w:rPr>
      </w:pPr>
      <w:r>
        <w:rPr>
          <w:rFonts w:hint="eastAsia" w:ascii="宋体" w:eastAsia="宋体"/>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22B524D1">
      <w:pPr>
        <w:spacing w:line="360" w:lineRule="auto"/>
        <w:ind w:firstLine="411" w:firstLineChars="196"/>
        <w:rPr>
          <w:rFonts w:ascii="宋体" w:eastAsia="宋体"/>
          <w:szCs w:val="21"/>
        </w:rPr>
      </w:pPr>
      <w:r>
        <w:rPr>
          <w:rFonts w:hint="eastAsia" w:ascii="宋体" w:eastAsia="宋体"/>
          <w:szCs w:val="21"/>
        </w:rPr>
        <w:t>评审委员会成员对需要共同认定的事项存在争议的，应当按照少数服从多数的原则作出结论。持不同意见的评审委员会成员应当书面作出说明，否则视为无异议。</w:t>
      </w:r>
    </w:p>
    <w:p w14:paraId="4BCA4431">
      <w:pPr>
        <w:spacing w:line="360" w:lineRule="auto"/>
        <w:rPr>
          <w:rFonts w:ascii="宋体" w:eastAsia="宋体"/>
          <w:b/>
          <w:bCs/>
          <w:szCs w:val="21"/>
        </w:rPr>
      </w:pPr>
      <w:r>
        <w:rPr>
          <w:rFonts w:hint="eastAsia" w:ascii="宋体" w:eastAsia="宋体"/>
          <w:b/>
          <w:bCs/>
          <w:szCs w:val="21"/>
        </w:rPr>
        <w:t>36. 实地考察或资料查验</w:t>
      </w:r>
    </w:p>
    <w:p w14:paraId="25D23D82">
      <w:pPr>
        <w:spacing w:line="360" w:lineRule="auto"/>
        <w:ind w:firstLine="411" w:firstLineChars="196"/>
        <w:rPr>
          <w:rFonts w:ascii="宋体" w:eastAsia="宋体"/>
          <w:szCs w:val="21"/>
        </w:rPr>
      </w:pPr>
      <w:r>
        <w:rPr>
          <w:rFonts w:hint="eastAsia" w:ascii="宋体" w:eastAsia="宋体"/>
          <w:szCs w:val="21"/>
        </w:rPr>
        <w:t>36.1在评审过程中，评审委员会有权决定是否对本项目投标人进行实地考察或资料查验（原件）。投标人应随时做好接受实地考察或资料查验的准备。</w:t>
      </w:r>
    </w:p>
    <w:p w14:paraId="068408C4">
      <w:pPr>
        <w:spacing w:line="360" w:lineRule="auto"/>
        <w:rPr>
          <w:rFonts w:ascii="宋体" w:eastAsia="宋体"/>
          <w:b/>
          <w:bCs/>
          <w:szCs w:val="21"/>
        </w:rPr>
      </w:pPr>
      <w:r>
        <w:rPr>
          <w:rFonts w:hint="eastAsia" w:ascii="宋体" w:eastAsia="宋体"/>
          <w:b/>
          <w:bCs/>
          <w:szCs w:val="21"/>
        </w:rPr>
        <w:t>37．评审方法</w:t>
      </w:r>
    </w:p>
    <w:p w14:paraId="7E415F83">
      <w:pPr>
        <w:spacing w:line="360" w:lineRule="auto"/>
        <w:ind w:firstLine="413" w:firstLineChars="196"/>
        <w:rPr>
          <w:rFonts w:ascii="宋体" w:eastAsia="宋体"/>
          <w:b/>
          <w:bCs/>
          <w:szCs w:val="21"/>
        </w:rPr>
      </w:pPr>
      <w:r>
        <w:rPr>
          <w:rFonts w:hint="eastAsia" w:ascii="宋体" w:eastAsia="宋体"/>
          <w:b/>
          <w:bCs/>
          <w:szCs w:val="21"/>
        </w:rPr>
        <w:t>37.1.1最低价法</w:t>
      </w:r>
    </w:p>
    <w:p w14:paraId="519D8533">
      <w:pPr>
        <w:spacing w:line="360" w:lineRule="auto"/>
        <w:ind w:firstLine="411" w:firstLineChars="196"/>
        <w:rPr>
          <w:rFonts w:ascii="宋体" w:eastAsia="宋体"/>
          <w:szCs w:val="21"/>
        </w:rPr>
      </w:pPr>
      <w:bookmarkStart w:id="67" w:name="_Hlk72438142"/>
      <w:r>
        <w:rPr>
          <w:rFonts w:ascii="宋体" w:eastAsia="宋体"/>
          <w:szCs w:val="21"/>
        </w:rPr>
        <w:t>最低价法，是指</w:t>
      </w:r>
      <w:r>
        <w:rPr>
          <w:rFonts w:hint="eastAsia" w:ascii="宋体" w:eastAsia="宋体"/>
          <w:szCs w:val="21"/>
        </w:rPr>
        <w:t>完全</w:t>
      </w:r>
      <w:r>
        <w:rPr>
          <w:rFonts w:ascii="宋体" w:eastAsia="宋体"/>
          <w:szCs w:val="21"/>
        </w:rPr>
        <w:t>满足招标文件实质性要求，</w:t>
      </w:r>
      <w:r>
        <w:rPr>
          <w:rFonts w:hint="eastAsia" w:ascii="宋体" w:eastAsia="宋体"/>
          <w:szCs w:val="21"/>
        </w:rPr>
        <w:t>按照报价由低到高的顺序，依据招标文件中规定的数量或者比例推荐候选中标供应商。</w:t>
      </w:r>
    </w:p>
    <w:p w14:paraId="00BF59BE">
      <w:pPr>
        <w:spacing w:line="360" w:lineRule="auto"/>
        <w:ind w:firstLine="413" w:firstLineChars="196"/>
        <w:rPr>
          <w:rFonts w:ascii="宋体" w:eastAsia="宋体"/>
          <w:b/>
          <w:bCs/>
          <w:szCs w:val="21"/>
        </w:rPr>
      </w:pPr>
      <w:r>
        <w:rPr>
          <w:rFonts w:hint="eastAsia" w:ascii="宋体" w:eastAsia="宋体"/>
          <w:b/>
          <w:bCs/>
          <w:szCs w:val="21"/>
        </w:rPr>
        <w:t>37.1.2综合评分法</w:t>
      </w:r>
    </w:p>
    <w:p w14:paraId="10A7CF12">
      <w:pPr>
        <w:spacing w:line="360" w:lineRule="auto"/>
        <w:ind w:firstLine="411" w:firstLineChars="196"/>
        <w:rPr>
          <w:rFonts w:ascii="宋体" w:eastAsia="宋体"/>
          <w:szCs w:val="21"/>
        </w:rPr>
      </w:pPr>
      <w:r>
        <w:rPr>
          <w:rFonts w:ascii="宋体" w:eastAsia="宋体"/>
          <w:szCs w:val="21"/>
        </w:rPr>
        <w:t>综合评分法，是指</w:t>
      </w:r>
      <w:r>
        <w:rPr>
          <w:rFonts w:hint="eastAsia" w:ascii="宋体" w:eastAsia="宋体"/>
          <w:szCs w:val="21"/>
        </w:rPr>
        <w:t>在</w:t>
      </w:r>
      <w:r>
        <w:rPr>
          <w:rFonts w:ascii="宋体" w:eastAsia="宋体"/>
          <w:szCs w:val="21"/>
        </w:rPr>
        <w:t>满足招标文件全部实质性要求</w:t>
      </w:r>
      <w:r>
        <w:rPr>
          <w:rFonts w:hint="eastAsia" w:ascii="宋体" w:eastAsia="宋体"/>
          <w:szCs w:val="21"/>
        </w:rPr>
        <w:t>的前提下</w:t>
      </w:r>
      <w:r>
        <w:rPr>
          <w:rFonts w:ascii="宋体" w:eastAsia="宋体"/>
          <w:szCs w:val="21"/>
        </w:rPr>
        <w:t>，</w:t>
      </w:r>
      <w:r>
        <w:rPr>
          <w:rFonts w:hint="eastAsia" w:ascii="宋体" w:eastAsia="宋体"/>
          <w:szCs w:val="21"/>
        </w:rPr>
        <w:t>按照招标文件中规定的各项因素进行综合评审，评审总得分排名前列的投标人，作为推荐的候选中标供应商。</w:t>
      </w:r>
      <w:bookmarkEnd w:id="67"/>
    </w:p>
    <w:p w14:paraId="2F8E76C4">
      <w:pPr>
        <w:spacing w:line="360" w:lineRule="auto"/>
        <w:ind w:firstLine="413" w:firstLineChars="196"/>
        <w:rPr>
          <w:rFonts w:ascii="宋体" w:eastAsia="宋体"/>
          <w:b/>
          <w:bCs/>
          <w:szCs w:val="21"/>
        </w:rPr>
      </w:pPr>
      <w:r>
        <w:rPr>
          <w:rFonts w:hint="eastAsia" w:ascii="宋体" w:eastAsia="宋体"/>
          <w:b/>
          <w:bCs/>
          <w:szCs w:val="21"/>
        </w:rPr>
        <w:t>37.2 本项目采用的评审方法见本项目招标文件第一册“专用条款”的相关内容。</w:t>
      </w:r>
    </w:p>
    <w:p w14:paraId="28BED528">
      <w:pPr>
        <w:spacing w:line="360" w:lineRule="auto"/>
        <w:ind w:firstLine="413" w:firstLineChars="196"/>
        <w:rPr>
          <w:rFonts w:ascii="宋体" w:eastAsia="宋体"/>
          <w:b/>
          <w:bCs/>
          <w:szCs w:val="21"/>
        </w:rPr>
      </w:pPr>
      <w:r>
        <w:rPr>
          <w:rFonts w:hint="eastAsia" w:ascii="宋体" w:eastAsia="宋体"/>
          <w:b/>
          <w:bCs/>
          <w:szCs w:val="21"/>
        </w:rPr>
        <w:t>37.3重新评审的情形</w:t>
      </w:r>
    </w:p>
    <w:p w14:paraId="1FC6588E">
      <w:pPr>
        <w:spacing w:line="360" w:lineRule="auto"/>
        <w:ind w:firstLine="411" w:firstLineChars="196"/>
        <w:rPr>
          <w:rFonts w:ascii="宋体" w:eastAsia="宋体"/>
          <w:b/>
          <w:bCs/>
          <w:szCs w:val="21"/>
        </w:rPr>
      </w:pPr>
      <w:r>
        <w:rPr>
          <w:rFonts w:hint="eastAsia" w:ascii="宋体" w:eastAsia="宋体" w:cs="宋体"/>
          <w:szCs w:val="21"/>
        </w:rPr>
        <w:t>评审结果汇总完成后，除下列情形外，任何人不得修改评审结果：</w:t>
      </w:r>
    </w:p>
    <w:p w14:paraId="1F4A9D6D">
      <w:pPr>
        <w:spacing w:line="360" w:lineRule="auto"/>
        <w:ind w:firstLine="411" w:firstLineChars="196"/>
        <w:rPr>
          <w:rFonts w:ascii="宋体" w:eastAsia="宋体" w:cs="宋体"/>
          <w:szCs w:val="21"/>
        </w:rPr>
      </w:pPr>
      <w:r>
        <w:rPr>
          <w:rFonts w:hint="eastAsia" w:ascii="宋体" w:eastAsia="宋体" w:cs="宋体"/>
          <w:szCs w:val="21"/>
        </w:rPr>
        <w:t>37.3.1分值汇总计算错误的；</w:t>
      </w:r>
    </w:p>
    <w:p w14:paraId="0D8AB73D">
      <w:pPr>
        <w:spacing w:line="360" w:lineRule="auto"/>
        <w:ind w:firstLine="411" w:firstLineChars="196"/>
        <w:rPr>
          <w:rFonts w:ascii="宋体" w:eastAsia="宋体" w:cs="宋体"/>
          <w:szCs w:val="21"/>
        </w:rPr>
      </w:pPr>
      <w:r>
        <w:rPr>
          <w:rFonts w:hint="eastAsia" w:ascii="宋体" w:eastAsia="宋体" w:cs="宋体"/>
          <w:szCs w:val="21"/>
        </w:rPr>
        <w:t>37.3.2分项评分超出评分标准范围的；</w:t>
      </w:r>
    </w:p>
    <w:p w14:paraId="30D3AC64">
      <w:pPr>
        <w:spacing w:line="360" w:lineRule="auto"/>
        <w:ind w:firstLine="411" w:firstLineChars="196"/>
        <w:rPr>
          <w:rFonts w:ascii="宋体" w:eastAsia="宋体" w:cs="宋体"/>
          <w:szCs w:val="21"/>
        </w:rPr>
      </w:pPr>
      <w:r>
        <w:rPr>
          <w:rFonts w:hint="eastAsia" w:ascii="宋体" w:eastAsia="宋体" w:cs="宋体"/>
          <w:szCs w:val="21"/>
        </w:rPr>
        <w:t>37.3.3评审委员会成员对客观评审因素评分不一致的；</w:t>
      </w:r>
    </w:p>
    <w:p w14:paraId="5ECF58E1">
      <w:pPr>
        <w:spacing w:line="360" w:lineRule="auto"/>
        <w:ind w:firstLine="411" w:firstLineChars="196"/>
        <w:rPr>
          <w:rFonts w:ascii="宋体" w:eastAsia="宋体" w:cs="宋体"/>
          <w:szCs w:val="21"/>
        </w:rPr>
      </w:pPr>
      <w:r>
        <w:rPr>
          <w:rFonts w:hint="eastAsia" w:ascii="宋体" w:eastAsia="宋体" w:cs="宋体"/>
          <w:szCs w:val="21"/>
        </w:rPr>
        <w:t>37.3.4经评审委员会认定评分畸高、畸低的。</w:t>
      </w:r>
    </w:p>
    <w:p w14:paraId="74522CCB">
      <w:pPr>
        <w:spacing w:line="360" w:lineRule="auto"/>
        <w:ind w:firstLine="411" w:firstLineChars="196"/>
        <w:rPr>
          <w:rFonts w:ascii="宋体" w:eastAsia="宋体" w:cs="宋体"/>
          <w:szCs w:val="21"/>
        </w:rPr>
      </w:pPr>
      <w:r>
        <w:rPr>
          <w:rFonts w:hint="eastAsia" w:ascii="宋体" w:eastAsia="宋体" w:cs="宋体"/>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40F3268B">
      <w:pPr>
        <w:spacing w:line="360" w:lineRule="auto"/>
        <w:ind w:firstLine="411" w:firstLineChars="196"/>
        <w:rPr>
          <w:rFonts w:ascii="宋体" w:eastAsia="宋体" w:cs="宋体"/>
          <w:szCs w:val="21"/>
        </w:rPr>
      </w:pPr>
      <w:r>
        <w:rPr>
          <w:rFonts w:hint="eastAsia" w:ascii="宋体" w:eastAsia="宋体" w:cs="宋体"/>
          <w:szCs w:val="21"/>
        </w:rPr>
        <w:t>投标人对本条第一款情形提出质疑的，采购人或者采购代理机构可以组织原评审委员会进行重新评审，重新评审改变评审结果的，应当书面报告本级财政部门。</w:t>
      </w:r>
    </w:p>
    <w:p w14:paraId="6A082F8A">
      <w:pPr>
        <w:spacing w:line="360" w:lineRule="auto"/>
        <w:ind w:firstLine="413" w:firstLineChars="196"/>
        <w:rPr>
          <w:rFonts w:ascii="宋体" w:eastAsia="宋体"/>
          <w:b/>
          <w:bCs/>
          <w:szCs w:val="21"/>
        </w:rPr>
      </w:pPr>
      <w:r>
        <w:rPr>
          <w:rFonts w:hint="eastAsia" w:ascii="宋体" w:eastAsia="宋体"/>
          <w:b/>
          <w:bCs/>
          <w:szCs w:val="21"/>
        </w:rPr>
        <w:t xml:space="preserve"> 37.4重新组建评审委员会的情形</w:t>
      </w:r>
    </w:p>
    <w:p w14:paraId="10FFD0A3">
      <w:pPr>
        <w:spacing w:line="360" w:lineRule="auto"/>
        <w:ind w:firstLine="411" w:firstLineChars="196"/>
        <w:rPr>
          <w:rFonts w:ascii="宋体" w:eastAsia="宋体" w:cs="宋体"/>
          <w:szCs w:val="21"/>
        </w:rPr>
      </w:pPr>
      <w:r>
        <w:rPr>
          <w:rFonts w:hint="eastAsia" w:ascii="宋体" w:eastAsia="宋体" w:cs="宋体"/>
          <w:szCs w:val="21"/>
        </w:rPr>
        <w:t>评审委员会或者其成员存在下列情形导致评审结果无效的，重新组建评审委员会进行评标，并书面报告本级财政部门：</w:t>
      </w:r>
    </w:p>
    <w:p w14:paraId="5D5BCB9D">
      <w:pPr>
        <w:spacing w:line="360" w:lineRule="auto"/>
        <w:ind w:firstLine="411" w:firstLineChars="196"/>
        <w:rPr>
          <w:rFonts w:ascii="宋体" w:eastAsia="宋体" w:cs="宋体"/>
          <w:szCs w:val="21"/>
        </w:rPr>
      </w:pPr>
      <w:r>
        <w:rPr>
          <w:rFonts w:hint="eastAsia" w:ascii="宋体" w:eastAsia="宋体" w:cs="宋体"/>
          <w:szCs w:val="21"/>
        </w:rPr>
        <w:t>37.4.1评审委员会组成不符合《政府采购货物和服务招标投标管理办法》规定的；</w:t>
      </w:r>
    </w:p>
    <w:p w14:paraId="3053C824">
      <w:pPr>
        <w:spacing w:line="360" w:lineRule="auto"/>
        <w:ind w:firstLine="411" w:firstLineChars="196"/>
        <w:rPr>
          <w:rFonts w:ascii="宋体" w:eastAsia="宋体" w:cs="宋体"/>
          <w:szCs w:val="21"/>
        </w:rPr>
      </w:pPr>
      <w:r>
        <w:rPr>
          <w:rFonts w:hint="eastAsia" w:ascii="宋体" w:eastAsia="宋体" w:cs="宋体"/>
          <w:szCs w:val="21"/>
        </w:rPr>
        <w:t>37.4.2有《政府采购货物和服务招标投标管理办法》第六十二条第一至五项情形的；</w:t>
      </w:r>
    </w:p>
    <w:p w14:paraId="707E4DD8">
      <w:pPr>
        <w:spacing w:line="360" w:lineRule="auto"/>
        <w:ind w:firstLine="411" w:firstLineChars="196"/>
        <w:rPr>
          <w:rFonts w:ascii="宋体" w:eastAsia="宋体" w:cs="宋体"/>
          <w:szCs w:val="21"/>
        </w:rPr>
      </w:pPr>
      <w:r>
        <w:rPr>
          <w:rFonts w:hint="eastAsia" w:ascii="宋体" w:eastAsia="宋体" w:cs="宋体"/>
          <w:szCs w:val="21"/>
        </w:rPr>
        <w:t>37.4.3评审委员会及其成员独立评标受到非法干预的；</w:t>
      </w:r>
    </w:p>
    <w:p w14:paraId="5D969F05">
      <w:pPr>
        <w:spacing w:line="360" w:lineRule="auto"/>
        <w:ind w:firstLine="411" w:firstLineChars="196"/>
        <w:rPr>
          <w:rFonts w:ascii="宋体" w:eastAsia="宋体" w:cs="宋体"/>
          <w:szCs w:val="21"/>
        </w:rPr>
      </w:pPr>
      <w:r>
        <w:rPr>
          <w:rFonts w:hint="eastAsia" w:ascii="宋体" w:eastAsia="宋体" w:cs="宋体"/>
          <w:szCs w:val="21"/>
        </w:rPr>
        <w:t>37.4.4有政府采购法实施条例第七十五条规定的违法行为的。</w:t>
      </w:r>
    </w:p>
    <w:p w14:paraId="7915F770">
      <w:pPr>
        <w:spacing w:line="360" w:lineRule="auto"/>
        <w:ind w:firstLine="411" w:firstLineChars="196"/>
        <w:rPr>
          <w:rFonts w:ascii="宋体" w:eastAsia="宋体" w:cs="宋体"/>
          <w:szCs w:val="21"/>
        </w:rPr>
      </w:pPr>
      <w:r>
        <w:rPr>
          <w:rFonts w:hint="eastAsia" w:ascii="宋体" w:eastAsia="宋体" w:cs="宋体"/>
          <w:szCs w:val="21"/>
        </w:rPr>
        <w:t>有违法违规行为的原评审委员会成员不得参加重新组建的评审委员会。</w:t>
      </w:r>
    </w:p>
    <w:p w14:paraId="3F808158">
      <w:pPr>
        <w:pStyle w:val="5"/>
        <w:widowControl/>
        <w:numPr>
          <w:ilvl w:val="0"/>
          <w:numId w:val="14"/>
        </w:numPr>
        <w:spacing w:before="120" w:beforeLines="50" w:after="120" w:afterLines="50" w:line="360" w:lineRule="auto"/>
        <w:ind w:left="562" w:hanging="562"/>
        <w:rPr>
          <w:rFonts w:ascii="宋体" w:eastAsia="宋体"/>
          <w:sz w:val="28"/>
          <w:szCs w:val="28"/>
        </w:rPr>
      </w:pPr>
      <w:r>
        <w:rPr>
          <w:rFonts w:hint="eastAsia" w:ascii="宋体" w:eastAsia="宋体"/>
          <w:sz w:val="28"/>
          <w:szCs w:val="28"/>
        </w:rPr>
        <w:t>定标及公示</w:t>
      </w:r>
    </w:p>
    <w:p w14:paraId="764295BE">
      <w:pPr>
        <w:spacing w:line="360" w:lineRule="auto"/>
        <w:rPr>
          <w:rFonts w:ascii="宋体" w:eastAsia="宋体"/>
          <w:b/>
          <w:bCs/>
          <w:szCs w:val="21"/>
        </w:rPr>
      </w:pPr>
      <w:r>
        <w:rPr>
          <w:rFonts w:hint="eastAsia" w:ascii="宋体" w:eastAsia="宋体"/>
          <w:b/>
          <w:bCs/>
          <w:szCs w:val="21"/>
        </w:rPr>
        <w:t>38．定标方法</w:t>
      </w:r>
    </w:p>
    <w:p w14:paraId="54053C54">
      <w:pPr>
        <w:spacing w:line="360" w:lineRule="auto"/>
        <w:ind w:firstLine="411" w:firstLineChars="196"/>
        <w:rPr>
          <w:rFonts w:ascii="宋体" w:eastAsia="宋体"/>
          <w:szCs w:val="21"/>
        </w:rPr>
      </w:pPr>
      <w:bookmarkStart w:id="68" w:name="_Hlk73782795"/>
      <w:r>
        <w:rPr>
          <w:rFonts w:hint="eastAsia" w:ascii="宋体" w:eastAsia="宋体"/>
          <w:szCs w:val="21"/>
        </w:rPr>
        <w:t>38.1非评定分离项目定标方法</w:t>
      </w:r>
    </w:p>
    <w:p w14:paraId="7C5F7790">
      <w:pPr>
        <w:spacing w:line="360" w:lineRule="auto"/>
        <w:ind w:firstLine="411" w:firstLineChars="196"/>
        <w:rPr>
          <w:rFonts w:ascii="宋体" w:eastAsia="宋体"/>
          <w:szCs w:val="21"/>
        </w:rPr>
      </w:pPr>
      <w:r>
        <w:rPr>
          <w:rFonts w:hint="eastAsia" w:ascii="宋体" w:eastAsia="宋体"/>
          <w:szCs w:val="21"/>
        </w:rPr>
        <w:t>38</w:t>
      </w:r>
      <w:r>
        <w:rPr>
          <w:rFonts w:ascii="宋体" w:eastAsia="宋体"/>
          <w:szCs w:val="21"/>
        </w:rPr>
        <w:t>.</w:t>
      </w:r>
      <w:r>
        <w:rPr>
          <w:rFonts w:hint="eastAsia" w:ascii="宋体" w:eastAsia="宋体"/>
          <w:szCs w:val="21"/>
        </w:rPr>
        <w:t>1.1评审委员会依据本项目招标文件所约定的评审方法进行评审和比较，向采购代理机构提交书面评审报告，并根据评审方法比较评价结果从优到劣进行排序，确定候选中标供应商。</w:t>
      </w:r>
    </w:p>
    <w:p w14:paraId="10ED0887">
      <w:pPr>
        <w:spacing w:line="360" w:lineRule="auto"/>
        <w:ind w:firstLine="411" w:firstLineChars="196"/>
        <w:rPr>
          <w:rFonts w:ascii="宋体" w:eastAsia="宋体"/>
          <w:szCs w:val="21"/>
        </w:rPr>
      </w:pPr>
      <w:r>
        <w:rPr>
          <w:rFonts w:hint="eastAsia" w:ascii="宋体" w:eastAsia="宋体"/>
          <w:szCs w:val="21"/>
        </w:rPr>
        <w:t>38</w:t>
      </w:r>
      <w:r>
        <w:rPr>
          <w:rFonts w:ascii="宋体" w:eastAsia="宋体"/>
          <w:szCs w:val="21"/>
        </w:rPr>
        <w:t>.</w:t>
      </w:r>
      <w:r>
        <w:rPr>
          <w:rFonts w:hint="eastAsia" w:ascii="宋体" w:eastAsia="宋体"/>
          <w:szCs w:val="21"/>
        </w:rPr>
        <w:t>1.2</w:t>
      </w:r>
      <w:r>
        <w:rPr>
          <w:rFonts w:ascii="宋体" w:eastAsia="宋体"/>
          <w:szCs w:val="21"/>
        </w:rPr>
        <w:t>采用最低价法的，评</w:t>
      </w:r>
      <w:r>
        <w:rPr>
          <w:rFonts w:hint="eastAsia" w:ascii="宋体" w:eastAsia="宋体"/>
          <w:szCs w:val="21"/>
        </w:rPr>
        <w:t>审</w:t>
      </w:r>
      <w:r>
        <w:rPr>
          <w:rFonts w:ascii="宋体" w:eastAsia="宋体"/>
          <w:szCs w:val="21"/>
        </w:rPr>
        <w:t>结果按投标报价由低到高顺序排列。投标报价相同的并列。投标文件满足招标文件全部实质性要求且投标报价最低的</w:t>
      </w:r>
      <w:r>
        <w:rPr>
          <w:rFonts w:hint="eastAsia" w:ascii="宋体" w:eastAsia="宋体"/>
          <w:szCs w:val="21"/>
        </w:rPr>
        <w:t>投标人为</w:t>
      </w:r>
      <w:bookmarkStart w:id="69" w:name="_Hlk73821177"/>
      <w:r>
        <w:rPr>
          <w:rFonts w:hint="eastAsia" w:ascii="宋体" w:eastAsia="宋体"/>
          <w:szCs w:val="21"/>
        </w:rPr>
        <w:t>中标供应商</w:t>
      </w:r>
      <w:r>
        <w:rPr>
          <w:rFonts w:ascii="宋体" w:eastAsia="宋体"/>
          <w:szCs w:val="21"/>
        </w:rPr>
        <w:t>（</w:t>
      </w:r>
      <w:r>
        <w:rPr>
          <w:rFonts w:hint="eastAsia" w:ascii="宋体" w:eastAsia="宋体"/>
          <w:szCs w:val="21"/>
        </w:rPr>
        <w:t>排名</w:t>
      </w:r>
      <w:r>
        <w:rPr>
          <w:rFonts w:ascii="宋体" w:eastAsia="宋体"/>
          <w:szCs w:val="21"/>
        </w:rPr>
        <w:t>第二</w:t>
      </w:r>
      <w:r>
        <w:rPr>
          <w:rFonts w:hint="eastAsia" w:ascii="宋体" w:eastAsia="宋体"/>
          <w:szCs w:val="21"/>
        </w:rPr>
        <w:t>的投标人为第一替补中标候选人、排名</w:t>
      </w:r>
      <w:r>
        <w:rPr>
          <w:rFonts w:ascii="宋体" w:eastAsia="宋体"/>
          <w:szCs w:val="21"/>
        </w:rPr>
        <w:t>第</w:t>
      </w:r>
      <w:r>
        <w:rPr>
          <w:rFonts w:hint="eastAsia" w:ascii="宋体" w:eastAsia="宋体"/>
          <w:szCs w:val="21"/>
        </w:rPr>
        <w:t>三的投标人为第二替补中标候选人</w:t>
      </w:r>
      <w:bookmarkEnd w:id="69"/>
      <w:r>
        <w:rPr>
          <w:rFonts w:ascii="宋体" w:eastAsia="宋体"/>
          <w:szCs w:val="21"/>
        </w:rPr>
        <w:t>）。</w:t>
      </w:r>
    </w:p>
    <w:p w14:paraId="5D8CFE46">
      <w:pPr>
        <w:spacing w:line="360" w:lineRule="auto"/>
        <w:ind w:firstLine="411" w:firstLineChars="196"/>
        <w:rPr>
          <w:rFonts w:ascii="宋体" w:eastAsia="宋体"/>
          <w:szCs w:val="21"/>
        </w:rPr>
      </w:pPr>
      <w:r>
        <w:rPr>
          <w:rFonts w:hint="eastAsia" w:ascii="宋体" w:eastAsia="宋体"/>
          <w:szCs w:val="21"/>
        </w:rPr>
        <w:t>38</w:t>
      </w:r>
      <w:r>
        <w:rPr>
          <w:rFonts w:ascii="宋体" w:eastAsia="宋体"/>
          <w:szCs w:val="21"/>
        </w:rPr>
        <w:t>.</w:t>
      </w:r>
      <w:r>
        <w:rPr>
          <w:rFonts w:hint="eastAsia" w:ascii="宋体" w:eastAsia="宋体"/>
          <w:szCs w:val="21"/>
        </w:rPr>
        <w:t>1.3</w:t>
      </w:r>
      <w:r>
        <w:rPr>
          <w:rFonts w:ascii="宋体" w:eastAsia="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宋体" w:eastAsia="宋体"/>
          <w:szCs w:val="21"/>
        </w:rPr>
        <w:t>为中标供应商</w:t>
      </w:r>
      <w:r>
        <w:rPr>
          <w:rFonts w:ascii="宋体" w:eastAsia="宋体"/>
          <w:szCs w:val="21"/>
        </w:rPr>
        <w:t>（</w:t>
      </w:r>
      <w:r>
        <w:rPr>
          <w:rFonts w:hint="eastAsia" w:ascii="宋体" w:eastAsia="宋体"/>
          <w:szCs w:val="21"/>
        </w:rPr>
        <w:t>中标候选人如不止一名，则推选排名</w:t>
      </w:r>
      <w:r>
        <w:rPr>
          <w:rFonts w:ascii="宋体" w:eastAsia="宋体"/>
          <w:szCs w:val="21"/>
        </w:rPr>
        <w:t>第二</w:t>
      </w:r>
      <w:r>
        <w:rPr>
          <w:rFonts w:hint="eastAsia" w:ascii="宋体" w:eastAsia="宋体"/>
          <w:szCs w:val="21"/>
        </w:rPr>
        <w:t>的投标人为第一替补中标候选人、排名</w:t>
      </w:r>
      <w:r>
        <w:rPr>
          <w:rFonts w:ascii="宋体" w:eastAsia="宋体"/>
          <w:szCs w:val="21"/>
        </w:rPr>
        <w:t>第</w:t>
      </w:r>
      <w:r>
        <w:rPr>
          <w:rFonts w:hint="eastAsia" w:ascii="宋体" w:eastAsia="宋体"/>
          <w:szCs w:val="21"/>
        </w:rPr>
        <w:t>三的投标人为第二替补中标候选人</w:t>
      </w:r>
      <w:r>
        <w:rPr>
          <w:rFonts w:ascii="宋体" w:eastAsia="宋体"/>
          <w:szCs w:val="21"/>
        </w:rPr>
        <w:t>）。</w:t>
      </w:r>
      <w:r>
        <w:rPr>
          <w:rFonts w:hint="eastAsia" w:ascii="宋体" w:eastAsia="宋体"/>
          <w:szCs w:val="21"/>
        </w:rPr>
        <w:t>出现</w:t>
      </w:r>
      <w:r>
        <w:rPr>
          <w:rFonts w:ascii="宋体" w:eastAsia="宋体"/>
          <w:szCs w:val="21"/>
        </w:rPr>
        <w:t>得分且投标报价相同的并列</w:t>
      </w:r>
      <w:r>
        <w:rPr>
          <w:rFonts w:hint="eastAsia" w:ascii="宋体" w:eastAsia="宋体"/>
          <w:szCs w:val="21"/>
        </w:rPr>
        <w:t>情况时，采取随机抽取的方式确定，具体操作办法及流程由评审委员会确定（因落实政府采购政策进行价格调整的，以调整后的价格计算投标报价）。</w:t>
      </w:r>
    </w:p>
    <w:p w14:paraId="67450536">
      <w:pPr>
        <w:spacing w:line="360" w:lineRule="auto"/>
        <w:ind w:firstLine="411" w:firstLineChars="196"/>
        <w:rPr>
          <w:rFonts w:ascii="宋体" w:eastAsia="宋体"/>
          <w:szCs w:val="21"/>
        </w:rPr>
      </w:pPr>
      <w:r>
        <w:rPr>
          <w:rFonts w:hint="eastAsia" w:ascii="宋体" w:eastAsia="宋体"/>
          <w:szCs w:val="21"/>
        </w:rPr>
        <w:t>38.2评定分离项目定标方法</w:t>
      </w:r>
    </w:p>
    <w:p w14:paraId="56AA7D84">
      <w:pPr>
        <w:spacing w:line="360" w:lineRule="auto"/>
        <w:ind w:firstLine="411" w:firstLineChars="196"/>
        <w:rPr>
          <w:rFonts w:ascii="宋体" w:eastAsia="宋体"/>
          <w:szCs w:val="21"/>
        </w:rPr>
      </w:pPr>
      <w:r>
        <w:rPr>
          <w:rFonts w:hint="eastAsia" w:ascii="宋体" w:eastAsia="宋体"/>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332ABE3B">
      <w:pPr>
        <w:spacing w:line="360" w:lineRule="auto"/>
        <w:ind w:firstLine="411" w:firstLineChars="196"/>
        <w:rPr>
          <w:rFonts w:ascii="宋体" w:eastAsia="宋体"/>
          <w:szCs w:val="21"/>
        </w:rPr>
      </w:pPr>
      <w:bookmarkStart w:id="70" w:name="_Hlk71469733"/>
      <w:r>
        <w:rPr>
          <w:rFonts w:hint="eastAsia" w:ascii="宋体" w:eastAsia="宋体"/>
          <w:szCs w:val="21"/>
          <w:lang w:eastAsia="zh-CN"/>
        </w:rPr>
        <w:t>38.2.2 适用评定分离的政府采购项目，采用综合评分法评审。评审委员会按照评审结果，推荐三个合格的候选中标供应商，推荐候选中标供应商不进行排名</w:t>
      </w:r>
      <w:r>
        <w:rPr>
          <w:rFonts w:ascii="宋体" w:eastAsia="宋体"/>
          <w:szCs w:val="21"/>
        </w:rPr>
        <w:t>。</w:t>
      </w:r>
    </w:p>
    <w:p w14:paraId="0B606A85">
      <w:pPr>
        <w:spacing w:line="360" w:lineRule="auto"/>
        <w:ind w:firstLine="411" w:firstLineChars="196"/>
        <w:rPr>
          <w:rFonts w:ascii="宋体" w:eastAsia="宋体"/>
          <w:szCs w:val="21"/>
        </w:rPr>
      </w:pPr>
      <w:r>
        <w:rPr>
          <w:rFonts w:hint="eastAsia" w:ascii="宋体" w:eastAsia="宋体"/>
          <w:szCs w:val="21"/>
        </w:rPr>
        <w:t>38.2.3</w:t>
      </w:r>
      <w:bookmarkStart w:id="71" w:name="_Hlk71469688"/>
      <w:r>
        <w:rPr>
          <w:rFonts w:ascii="宋体" w:eastAsia="宋体"/>
          <w:szCs w:val="21"/>
        </w:rPr>
        <w:t>适用评定分离的政府采购项目，</w:t>
      </w:r>
      <w:r>
        <w:rPr>
          <w:rFonts w:hint="eastAsia" w:ascii="宋体" w:eastAsia="宋体"/>
          <w:szCs w:val="21"/>
        </w:rPr>
        <w:t>按照自定法确定中标供应商：自定法是指采购人组织定标委员会，由定标委员会在三家候选中标供应商中确定中标供应商。</w:t>
      </w:r>
      <w:bookmarkEnd w:id="70"/>
      <w:bookmarkEnd w:id="71"/>
    </w:p>
    <w:p w14:paraId="326C84AA">
      <w:pPr>
        <w:spacing w:line="360" w:lineRule="auto"/>
        <w:ind w:firstLine="411" w:firstLineChars="196"/>
        <w:rPr>
          <w:rFonts w:ascii="宋体" w:eastAsia="宋体"/>
          <w:szCs w:val="21"/>
        </w:rPr>
      </w:pPr>
      <w:r>
        <w:rPr>
          <w:rFonts w:ascii="宋体" w:eastAsia="宋体"/>
          <w:szCs w:val="21"/>
        </w:rPr>
        <w:t>38.2.4</w:t>
      </w:r>
      <w:r>
        <w:rPr>
          <w:rFonts w:hint="eastAsia" w:ascii="宋体" w:eastAsia="宋体"/>
          <w:szCs w:val="21"/>
        </w:rPr>
        <w:t>采购代理机构</w:t>
      </w:r>
      <w:r>
        <w:rPr>
          <w:rFonts w:ascii="宋体" w:eastAsia="宋体"/>
          <w:szCs w:val="21"/>
        </w:rPr>
        <w:t>应当自评审结束之日起两个工作日内将候选中标供应商名单及其投标文件、评审报告送交采购人</w:t>
      </w:r>
      <w:r>
        <w:rPr>
          <w:rFonts w:hint="eastAsia" w:ascii="宋体" w:eastAsia="宋体"/>
          <w:szCs w:val="21"/>
        </w:rPr>
        <w:t>。</w:t>
      </w:r>
      <w:r>
        <w:rPr>
          <w:rFonts w:ascii="宋体" w:eastAsia="宋体"/>
          <w:szCs w:val="21"/>
        </w:rPr>
        <w:t>采购人应当安排专人对定标过程进行书面记录，形成定标报告，作为采购文件的组成部分存档，并及时将定标结果反馈</w:t>
      </w:r>
      <w:r>
        <w:rPr>
          <w:rFonts w:hint="eastAsia" w:ascii="宋体" w:eastAsia="宋体"/>
          <w:szCs w:val="21"/>
        </w:rPr>
        <w:t>采购代理机构。具体定标程序及相关要求以按照《</w:t>
      </w:r>
      <w:r>
        <w:rPr>
          <w:rFonts w:ascii="宋体" w:eastAsia="宋体"/>
          <w:szCs w:val="21"/>
        </w:rPr>
        <w:t>深圳市财政局关于印发</w:t>
      </w:r>
      <w:r>
        <w:rPr>
          <w:rFonts w:hint="eastAsia" w:ascii="宋体" w:eastAsia="宋体"/>
          <w:szCs w:val="21"/>
        </w:rPr>
        <w:t>〈</w:t>
      </w:r>
      <w:r>
        <w:rPr>
          <w:rFonts w:ascii="宋体" w:eastAsia="宋体"/>
          <w:szCs w:val="21"/>
        </w:rPr>
        <w:t>深圳市政府采购评标定标分离管理办法</w:t>
      </w:r>
      <w:r>
        <w:rPr>
          <w:rFonts w:hint="eastAsia" w:ascii="宋体" w:eastAsia="宋体"/>
          <w:szCs w:val="21"/>
        </w:rPr>
        <w:t>〉</w:t>
      </w:r>
      <w:r>
        <w:rPr>
          <w:rFonts w:ascii="宋体" w:eastAsia="宋体"/>
          <w:szCs w:val="21"/>
        </w:rPr>
        <w:t>的通知</w:t>
      </w:r>
      <w:r>
        <w:rPr>
          <w:rFonts w:hint="eastAsia" w:ascii="宋体" w:eastAsia="宋体"/>
          <w:szCs w:val="21"/>
        </w:rPr>
        <w:t>》（深财规【2</w:t>
      </w:r>
      <w:r>
        <w:rPr>
          <w:rFonts w:ascii="宋体" w:eastAsia="宋体"/>
          <w:szCs w:val="21"/>
        </w:rPr>
        <w:t>020</w:t>
      </w:r>
      <w:r>
        <w:rPr>
          <w:rFonts w:hint="eastAsia" w:ascii="宋体" w:eastAsia="宋体"/>
          <w:szCs w:val="21"/>
        </w:rPr>
        <w:t>】1号）执行。</w:t>
      </w:r>
    </w:p>
    <w:p w14:paraId="7E60D820">
      <w:pPr>
        <w:spacing w:line="360" w:lineRule="auto"/>
        <w:ind w:firstLine="411" w:firstLineChars="196"/>
        <w:rPr>
          <w:rFonts w:ascii="宋体" w:eastAsia="宋体"/>
          <w:szCs w:val="21"/>
        </w:rPr>
      </w:pPr>
      <w:r>
        <w:rPr>
          <w:rFonts w:hint="eastAsia" w:ascii="宋体" w:eastAsia="宋体"/>
          <w:szCs w:val="21"/>
        </w:rPr>
        <w:t>说明：采购人及投标供应商应按照上述方法提前做好相关准备。</w:t>
      </w:r>
    </w:p>
    <w:p w14:paraId="564AEEAB">
      <w:pPr>
        <w:spacing w:line="360" w:lineRule="auto"/>
        <w:ind w:firstLine="411" w:firstLineChars="196"/>
        <w:rPr>
          <w:rFonts w:ascii="宋体" w:eastAsia="宋体"/>
          <w:szCs w:val="21"/>
        </w:rPr>
      </w:pPr>
      <w:r>
        <w:rPr>
          <w:rFonts w:hint="eastAsia" w:ascii="宋体" w:eastAsia="宋体"/>
          <w:szCs w:val="21"/>
        </w:rPr>
        <w:t>38.3专用条款另有规定的，按专用条款相关要求定标。</w:t>
      </w:r>
      <w:bookmarkEnd w:id="68"/>
    </w:p>
    <w:p w14:paraId="5DE6B0BE">
      <w:pPr>
        <w:spacing w:line="360" w:lineRule="auto"/>
        <w:rPr>
          <w:rFonts w:ascii="宋体" w:eastAsia="宋体"/>
          <w:b/>
          <w:bCs/>
          <w:szCs w:val="21"/>
        </w:rPr>
      </w:pPr>
      <w:r>
        <w:rPr>
          <w:rFonts w:hint="eastAsia" w:ascii="宋体" w:eastAsia="宋体"/>
          <w:b/>
          <w:bCs/>
          <w:szCs w:val="21"/>
        </w:rPr>
        <w:t>39．编写评审报告</w:t>
      </w:r>
    </w:p>
    <w:p w14:paraId="6665E0A3">
      <w:pPr>
        <w:spacing w:line="360" w:lineRule="auto"/>
        <w:ind w:firstLine="411" w:firstLineChars="196"/>
        <w:rPr>
          <w:rFonts w:ascii="宋体" w:eastAsia="宋体"/>
          <w:szCs w:val="21"/>
        </w:rPr>
      </w:pPr>
      <w:r>
        <w:rPr>
          <w:rFonts w:hint="eastAsia" w:ascii="宋体" w:eastAsia="宋体"/>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354BED78">
      <w:pPr>
        <w:spacing w:line="360" w:lineRule="auto"/>
        <w:rPr>
          <w:rFonts w:ascii="宋体" w:eastAsia="宋体"/>
          <w:b/>
          <w:bCs/>
          <w:szCs w:val="21"/>
        </w:rPr>
      </w:pPr>
      <w:r>
        <w:rPr>
          <w:rFonts w:hint="eastAsia" w:ascii="宋体" w:eastAsia="宋体"/>
          <w:b/>
          <w:bCs/>
          <w:szCs w:val="21"/>
        </w:rPr>
        <w:t>40．中标公告</w:t>
      </w:r>
    </w:p>
    <w:p w14:paraId="468F8CB6">
      <w:pPr>
        <w:spacing w:line="360" w:lineRule="auto"/>
        <w:ind w:firstLine="411" w:firstLineChars="196"/>
        <w:rPr>
          <w:rFonts w:ascii="宋体" w:eastAsia="宋体"/>
          <w:szCs w:val="21"/>
        </w:rPr>
      </w:pPr>
      <w:r>
        <w:rPr>
          <w:rFonts w:hint="eastAsia" w:ascii="宋体" w:eastAsia="宋体"/>
          <w:szCs w:val="21"/>
        </w:rPr>
        <w:t>40.1</w:t>
      </w:r>
      <w:bookmarkStart w:id="72" w:name="_Hlk72438709"/>
      <w:r>
        <w:rPr>
          <w:rFonts w:hint="eastAsia" w:ascii="宋体" w:eastAsia="宋体"/>
          <w:szCs w:val="21"/>
        </w:rPr>
        <w:t>为体现“公开、公平、公正”的原则，评审结束后经采购人确认（确定）评审结果，采购代理机构将在“深圳政府采购智慧平台（http://zfcg.szggzy.com/）”上发布中标结果公告。</w:t>
      </w:r>
      <w:bookmarkEnd w:id="72"/>
      <w:bookmarkStart w:id="73" w:name="_Hlk72438751"/>
      <w:r>
        <w:rPr>
          <w:rFonts w:hint="eastAsia" w:ascii="宋体" w:eastAsia="宋体"/>
          <w:szCs w:val="21"/>
        </w:rPr>
        <w:t>供应商如对评审结果有异议，</w:t>
      </w:r>
      <w:r>
        <w:rPr>
          <w:rFonts w:ascii="宋体" w:eastAsia="宋体"/>
          <w:szCs w:val="21"/>
        </w:rPr>
        <w:t>可在发布公示日期起</w:t>
      </w:r>
      <w:r>
        <w:rPr>
          <w:rFonts w:hint="eastAsia" w:ascii="宋体" w:eastAsia="宋体"/>
          <w:szCs w:val="21"/>
        </w:rPr>
        <w:t>七</w:t>
      </w:r>
      <w:r>
        <w:rPr>
          <w:rFonts w:ascii="宋体" w:eastAsia="宋体"/>
          <w:szCs w:val="21"/>
        </w:rPr>
        <w:t>个工作日内向</w:t>
      </w:r>
      <w:r>
        <w:rPr>
          <w:rFonts w:hint="eastAsia" w:ascii="宋体" w:eastAsia="宋体"/>
          <w:szCs w:val="21"/>
        </w:rPr>
        <w:t>采购代理机构</w:t>
      </w:r>
      <w:r>
        <w:rPr>
          <w:rFonts w:ascii="宋体" w:eastAsia="宋体"/>
          <w:szCs w:val="21"/>
        </w:rPr>
        <w:t>提出。 监督电话：0755-83948143。</w:t>
      </w:r>
      <w:r>
        <w:rPr>
          <w:rFonts w:hint="eastAsia" w:ascii="宋体" w:eastAsia="宋体"/>
          <w:szCs w:val="21"/>
        </w:rPr>
        <w:t>若在公示期内未提出质疑，则视为认同该评审结果。</w:t>
      </w:r>
    </w:p>
    <w:bookmarkEnd w:id="73"/>
    <w:p w14:paraId="366E0ACA">
      <w:pPr>
        <w:spacing w:line="360" w:lineRule="auto"/>
        <w:ind w:firstLine="411" w:firstLineChars="196"/>
        <w:rPr>
          <w:rFonts w:ascii="宋体" w:eastAsia="宋体"/>
          <w:szCs w:val="21"/>
        </w:rPr>
      </w:pPr>
      <w:r>
        <w:rPr>
          <w:rFonts w:hint="eastAsia" w:ascii="宋体" w:eastAsia="宋体"/>
          <w:szCs w:val="21"/>
        </w:rPr>
        <w:t>40.2质疑、投诉供应商应保证质疑、投诉内容的真实性和可靠性，并承担相应的法律责任。</w:t>
      </w:r>
    </w:p>
    <w:p w14:paraId="0A530515">
      <w:pPr>
        <w:spacing w:line="360" w:lineRule="auto"/>
        <w:rPr>
          <w:rFonts w:ascii="宋体" w:eastAsia="宋体"/>
          <w:b/>
          <w:bCs/>
          <w:szCs w:val="21"/>
        </w:rPr>
      </w:pPr>
      <w:r>
        <w:rPr>
          <w:rFonts w:hint="eastAsia" w:ascii="宋体" w:eastAsia="宋体"/>
          <w:b/>
          <w:bCs/>
          <w:szCs w:val="21"/>
        </w:rPr>
        <w:t>41．中标通知书</w:t>
      </w:r>
    </w:p>
    <w:p w14:paraId="5578F507">
      <w:pPr>
        <w:spacing w:line="360" w:lineRule="auto"/>
        <w:ind w:firstLine="411" w:firstLineChars="196"/>
        <w:rPr>
          <w:rFonts w:ascii="宋体" w:eastAsia="宋体"/>
          <w:szCs w:val="21"/>
        </w:rPr>
      </w:pPr>
      <w:r>
        <w:rPr>
          <w:rFonts w:hint="eastAsia" w:ascii="宋体" w:eastAsia="宋体"/>
          <w:szCs w:val="21"/>
        </w:rPr>
        <w:t>41</w:t>
      </w:r>
      <w:r>
        <w:rPr>
          <w:rFonts w:ascii="宋体" w:eastAsia="宋体"/>
          <w:szCs w:val="21"/>
        </w:rPr>
        <w:t>.</w:t>
      </w:r>
      <w:r>
        <w:rPr>
          <w:rFonts w:hint="eastAsia" w:ascii="宋体" w:eastAsia="宋体"/>
          <w:szCs w:val="21"/>
        </w:rPr>
        <w:t>1</w:t>
      </w:r>
      <w:bookmarkStart w:id="74" w:name="_Hlk72438863"/>
      <w:r>
        <w:rPr>
          <w:rFonts w:hint="eastAsia" w:ascii="宋体" w:eastAsia="宋体"/>
          <w:szCs w:val="21"/>
        </w:rPr>
        <w:t>中标公告公布以后无异常的情况下,采购代理机构将向中标供应商和采购人发出中标通知书。</w:t>
      </w:r>
      <w:bookmarkEnd w:id="74"/>
    </w:p>
    <w:p w14:paraId="49634A44">
      <w:pPr>
        <w:spacing w:line="360" w:lineRule="auto"/>
        <w:ind w:firstLine="411" w:firstLineChars="196"/>
        <w:rPr>
          <w:rFonts w:ascii="宋体" w:eastAsia="宋体"/>
          <w:szCs w:val="21"/>
        </w:rPr>
      </w:pPr>
      <w:r>
        <w:rPr>
          <w:rFonts w:hint="eastAsia" w:ascii="宋体" w:eastAsia="宋体"/>
          <w:szCs w:val="21"/>
        </w:rPr>
        <w:t>41</w:t>
      </w:r>
      <w:r>
        <w:rPr>
          <w:rFonts w:ascii="宋体" w:eastAsia="宋体"/>
          <w:szCs w:val="21"/>
        </w:rPr>
        <w:t>.2</w:t>
      </w:r>
      <w:r>
        <w:rPr>
          <w:rFonts w:hint="eastAsia" w:ascii="宋体" w:eastAsia="宋体"/>
          <w:szCs w:val="21"/>
        </w:rPr>
        <w:t>中标通知书是合同的重要组成部分。</w:t>
      </w:r>
    </w:p>
    <w:p w14:paraId="26B942A8">
      <w:pPr>
        <w:spacing w:line="360" w:lineRule="auto"/>
        <w:ind w:firstLine="411" w:firstLineChars="196"/>
        <w:rPr>
          <w:rFonts w:ascii="宋体" w:eastAsia="宋体"/>
          <w:szCs w:val="21"/>
        </w:rPr>
      </w:pPr>
      <w:bookmarkStart w:id="75" w:name="_Hlk71407340"/>
      <w:r>
        <w:rPr>
          <w:rFonts w:hint="eastAsia" w:ascii="宋体" w:eastAsia="宋体"/>
          <w:szCs w:val="21"/>
        </w:rPr>
        <w:t>41.3因质疑投诉或其它原因导致项目结果变更或采购终止的，采购代理机构有权吊销中标通知书。</w:t>
      </w:r>
    </w:p>
    <w:p w14:paraId="223D7586">
      <w:pPr>
        <w:spacing w:line="360" w:lineRule="auto"/>
        <w:ind w:firstLine="411" w:firstLineChars="196"/>
        <w:rPr>
          <w:rFonts w:hint="eastAsia" w:ascii="宋体" w:eastAsia="宋体"/>
          <w:szCs w:val="21"/>
          <w:lang w:eastAsia="zh-CN"/>
        </w:rPr>
      </w:pPr>
      <w:r>
        <w:rPr>
          <w:rFonts w:hint="eastAsia" w:ascii="宋体" w:eastAsia="宋体"/>
          <w:szCs w:val="21"/>
        </w:rPr>
        <w:t>41.4</w:t>
      </w:r>
      <w:r>
        <w:rPr>
          <w:rFonts w:hint="eastAsia" w:ascii="宋体" w:eastAsia="宋体"/>
          <w:szCs w:val="21"/>
          <w:lang w:eastAsia="zh-CN"/>
        </w:rPr>
        <w:t>代理服务费</w:t>
      </w:r>
    </w:p>
    <w:p w14:paraId="1A620DF9">
      <w:pPr>
        <w:spacing w:line="360" w:lineRule="auto"/>
        <w:ind w:firstLine="411" w:firstLineChars="196"/>
        <w:rPr>
          <w:rFonts w:ascii="宋体" w:eastAsia="宋体"/>
          <w:szCs w:val="21"/>
        </w:rPr>
      </w:pPr>
      <w:r>
        <w:rPr>
          <w:rFonts w:hint="eastAsia" w:ascii="宋体" w:eastAsia="宋体"/>
          <w:szCs w:val="21"/>
        </w:rPr>
        <w:t>中标人须在中标公告公示期结束后，向采购代理机构缴纳</w:t>
      </w:r>
      <w:r>
        <w:rPr>
          <w:rFonts w:hint="eastAsia" w:ascii="宋体" w:eastAsia="宋体"/>
          <w:szCs w:val="21"/>
          <w:lang w:eastAsia="zh-CN"/>
        </w:rPr>
        <w:t>代理服务费</w:t>
      </w:r>
      <w:r>
        <w:rPr>
          <w:rFonts w:hint="eastAsia" w:ascii="宋体" w:eastAsia="宋体"/>
          <w:szCs w:val="21"/>
        </w:rPr>
        <w:t>。</w:t>
      </w:r>
      <w:r>
        <w:rPr>
          <w:rFonts w:hint="eastAsia" w:ascii="宋体" w:eastAsia="宋体"/>
          <w:szCs w:val="21"/>
          <w:lang w:eastAsia="zh-CN"/>
        </w:rPr>
        <w:t>代理服务费</w:t>
      </w:r>
      <w:r>
        <w:rPr>
          <w:rFonts w:hint="eastAsia" w:ascii="宋体" w:eastAsia="宋体"/>
          <w:szCs w:val="21"/>
        </w:rPr>
        <w:t>收费标准根据《深圳市财政委员会关于规范深圳市社会采购代理机构的管理有关事项的补充通知（深财购[2018]27号）》文件相关规定，按照差额定率累进法计算。具体收费标准详见下表：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027"/>
        <w:gridCol w:w="2158"/>
        <w:gridCol w:w="2158"/>
      </w:tblGrid>
      <w:tr w14:paraId="6F1EB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2802" w:type="dxa"/>
          </w:tcPr>
          <w:p w14:paraId="20F29957">
            <w:pPr>
              <w:spacing w:line="360" w:lineRule="auto"/>
              <w:ind w:firstLine="1724" w:firstLineChars="821"/>
              <w:rPr>
                <w:rFonts w:ascii="宋体" w:eastAsia="宋体"/>
                <w:b/>
                <w:szCs w:val="21"/>
              </w:rPr>
            </w:pPr>
            <w:r>
              <w:rPr>
                <w:rFonts w:ascii="宋体" w:eastAsia="宋体"/>
                <w:szCs w:val="21"/>
              </w:rPr>
              <mc:AlternateContent>
                <mc:Choice Requires="wps">
                  <w:drawing>
                    <wp:anchor distT="0" distB="0" distL="113665" distR="113665" simplePos="0" relativeHeight="251659264" behindDoc="0" locked="0" layoutInCell="0" allowOverlap="1">
                      <wp:simplePos x="0" y="0"/>
                      <wp:positionH relativeFrom="column">
                        <wp:posOffset>-257175</wp:posOffset>
                      </wp:positionH>
                      <wp:positionV relativeFrom="paragraph">
                        <wp:posOffset>244475</wp:posOffset>
                      </wp:positionV>
                      <wp:extent cx="1733550" cy="548005"/>
                      <wp:effectExtent l="0" t="0" r="0" b="0"/>
                      <wp:wrapNone/>
                      <wp:docPr id="21" name="直线 21"/>
                      <wp:cNvGraphicFramePr/>
                      <a:graphic xmlns:a="http://schemas.openxmlformats.org/drawingml/2006/main">
                        <a:graphicData uri="http://schemas.microsoft.com/office/word/2010/wordprocessingShape">
                          <wps:wsp>
                            <wps:cNvCnPr/>
                            <wps:spPr>
                              <a:xfrm flipH="1" flipV="1">
                                <a:off x="0" y="0"/>
                                <a:ext cx="1733550" cy="548005"/>
                              </a:xfrm>
                              <a:prstGeom prst="line">
                                <a:avLst/>
                              </a:prstGeom>
                              <a:noFill/>
                              <a:ln w="12700" cap="flat" cmpd="sng">
                                <a:solidFill>
                                  <a:srgbClr val="000000"/>
                                </a:solidFill>
                                <a:prstDash val="solid"/>
                                <a:miter/>
                              </a:ln>
                            </wps:spPr>
                            <wps:bodyPr vert="horz" wrap="square" lIns="91440" tIns="45720" rIns="91440" bIns="45720" anchor="t" anchorCtr="0" upright="1">
                              <a:noAutofit/>
                            </wps:bodyPr>
                          </wps:wsp>
                        </a:graphicData>
                      </a:graphic>
                    </wp:anchor>
                  </w:drawing>
                </mc:Choice>
                <mc:Fallback>
                  <w:pict>
                    <v:line id="直线 21" o:spid="_x0000_s1026" o:spt="20" style="position:absolute;left:0pt;flip:x y;margin-left:-20.25pt;margin-top:19.25pt;height:43.15pt;width:136.5pt;z-index:251659264;mso-width-relative:page;mso-height-relative:page;" filled="f" stroked="t" coordsize="21600,21600" o:allowincell="f" o:gfxdata="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BJaTs/aAAAACgEAAA8AAAAAAAAAAQAgAAAAIgAAAGRycy9kb3ducmV2LnhtbFBLAQIUABQAAAAI&#10;AIdO4kBH9sEJJAIAADkEAAAOAAAAAAAAAAEAIAAAACkBAABkcnMvZTJvRG9jLnhtbFBLBQYAAAAA&#10;BgAGAFkBAAC/BQAAAAA=&#10;">
                      <v:fill on="f" focussize="0,0"/>
                      <v:stroke weight="1pt" color="#000000" joinstyle="miter"/>
                      <v:imagedata o:title=""/>
                      <o:lock v:ext="edit" aspectratio="f"/>
                    </v:line>
                  </w:pict>
                </mc:Fallback>
              </mc:AlternateContent>
            </w:r>
            <w:r>
              <w:rPr>
                <w:rFonts w:ascii="宋体" w:eastAsia="宋体"/>
                <w:szCs w:val="21"/>
              </w:rPr>
              <mc:AlternateContent>
                <mc:Choice Requires="wps">
                  <w:drawing>
                    <wp:anchor distT="0" distB="0" distL="113665" distR="113665" simplePos="0" relativeHeight="251659264" behindDoc="0" locked="0" layoutInCell="0" allowOverlap="1">
                      <wp:simplePos x="0" y="0"/>
                      <wp:positionH relativeFrom="column">
                        <wp:posOffset>152400</wp:posOffset>
                      </wp:positionH>
                      <wp:positionV relativeFrom="paragraph">
                        <wp:posOffset>-6350</wp:posOffset>
                      </wp:positionV>
                      <wp:extent cx="1322070" cy="798830"/>
                      <wp:effectExtent l="0" t="0" r="0" b="0"/>
                      <wp:wrapNone/>
                      <wp:docPr id="23" name="直线 23"/>
                      <wp:cNvGraphicFramePr/>
                      <a:graphic xmlns:a="http://schemas.openxmlformats.org/drawingml/2006/main">
                        <a:graphicData uri="http://schemas.microsoft.com/office/word/2010/wordprocessingShape">
                          <wps:wsp>
                            <wps:cNvCnPr/>
                            <wps:spPr>
                              <a:xfrm flipH="1" flipV="1">
                                <a:off x="0" y="0"/>
                                <a:ext cx="1322069" cy="798829"/>
                              </a:xfrm>
                              <a:prstGeom prst="line">
                                <a:avLst/>
                              </a:prstGeom>
                              <a:noFill/>
                              <a:ln w="12700" cap="flat" cmpd="sng">
                                <a:solidFill>
                                  <a:srgbClr val="000000"/>
                                </a:solidFill>
                                <a:prstDash val="solid"/>
                                <a:miter/>
                              </a:ln>
                            </wps:spPr>
                            <wps:bodyPr vert="horz" wrap="square" lIns="91440" tIns="45720" rIns="91440" bIns="45720" anchor="t" anchorCtr="0" upright="1">
                              <a:noAutofit/>
                            </wps:bodyPr>
                          </wps:wsp>
                        </a:graphicData>
                      </a:graphic>
                    </wp:anchor>
                  </w:drawing>
                </mc:Choice>
                <mc:Fallback>
                  <w:pict>
                    <v:line id="直线 23" o:spid="_x0000_s1026" o:spt="20" style="position:absolute;left:0pt;flip:x y;margin-left:12pt;margin-top:-0.5pt;height:62.9pt;width:104.1pt;z-index:251659264;mso-width-relative:page;mso-height-relative:page;" filled="f" stroked="t" coordsize="21600,21600" o:allowincell="f" o:gfxdata="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tgU82gAAAAkBAAAPAAAAAAAAAAEAIAAAACIAAABkcnMvZG93bnJldi54bWxQSwECFAAUAAAA&#10;CACHTuJArhCQpSUCAAA5BAAADgAAAAAAAAABACAAAAApAQAAZHJzL2Uyb0RvYy54bWxQSwUGAAAA&#10;AAYABgBZAQAAwAUAAAAA&#10;">
                      <v:fill on="f" focussize="0,0"/>
                      <v:stroke weight="1pt" color="#000000" joinstyle="miter"/>
                      <v:imagedata o:title=""/>
                      <o:lock v:ext="edit" aspectratio="f"/>
                    </v:line>
                  </w:pict>
                </mc:Fallback>
              </mc:AlternateContent>
            </w:r>
            <w:r>
              <w:rPr>
                <w:rFonts w:ascii="宋体" w:eastAsia="宋体"/>
                <w:szCs w:val="21"/>
              </w:rPr>
              <mc:AlternateContent>
                <mc:Choice Requires="wps">
                  <w:drawing>
                    <wp:anchor distT="0" distB="0" distL="113665" distR="113665" simplePos="0" relativeHeight="251659264" behindDoc="0" locked="0" layoutInCell="0" allowOverlap="1">
                      <wp:simplePos x="0" y="0"/>
                      <wp:positionH relativeFrom="column">
                        <wp:posOffset>-114300</wp:posOffset>
                      </wp:positionH>
                      <wp:positionV relativeFrom="paragraph">
                        <wp:posOffset>-6350</wp:posOffset>
                      </wp:positionV>
                      <wp:extent cx="635" cy="635"/>
                      <wp:effectExtent l="0" t="0" r="0" b="0"/>
                      <wp:wrapNone/>
                      <wp:docPr id="25" name="直线 25"/>
                      <wp:cNvGraphicFramePr/>
                      <a:graphic xmlns:a="http://schemas.openxmlformats.org/drawingml/2006/main">
                        <a:graphicData uri="http://schemas.microsoft.com/office/word/2010/wordprocessingShape">
                          <wps:wsp>
                            <wps:cNvCnPr/>
                            <wps:spPr>
                              <a:xfrm>
                                <a:off x="0" y="0"/>
                                <a:ext cx="952" cy="952"/>
                              </a:xfrm>
                              <a:prstGeom prst="line">
                                <a:avLst/>
                              </a:prstGeom>
                              <a:noFill/>
                              <a:ln w="12700" cap="flat" cmpd="sng">
                                <a:solidFill>
                                  <a:srgbClr val="000000"/>
                                </a:solidFill>
                                <a:prstDash val="solid"/>
                                <a:miter/>
                              </a:ln>
                            </wps:spPr>
                            <wps:bodyPr vert="horz" wrap="square" lIns="91440" tIns="45720" rIns="91440" bIns="45720" anchor="t" anchorCtr="0" upright="1">
                              <a:noAutofit/>
                            </wps:bodyPr>
                          </wps:wsp>
                        </a:graphicData>
                      </a:graphic>
                    </wp:anchor>
                  </w:drawing>
                </mc:Choice>
                <mc:Fallback>
                  <w:pict>
                    <v:line id="直线 25" o:spid="_x0000_s1026" o:spt="20" style="position:absolute;left:0pt;margin-left:-9pt;margin-top:-0.5pt;height:0.05pt;width:0.05pt;z-index:251659264;mso-width-relative:page;mso-height-relative:page;" filled="f" stroked="t" coordsize="21600,21600" o:allowincell="f" o:gfxdata="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yZSZp9gAAAAIAQAADwAAAAAAAAAB&#10;ACAAAAAiAAAAZHJzL2Rvd25yZXYueG1sUEsBAhQAFAAAAAgAh07iQBfASnQQAgAAHgQAAA4AAAAA&#10;AAAAAQAgAAAAJwEAAGRycy9lMm9Eb2MueG1sUEsFBgAAAAAGAAYAWQEAAKkFAAAAAA==&#10;">
                      <v:fill on="f" focussize="0,0"/>
                      <v:stroke weight="1pt" color="#000000" joinstyle="miter"/>
                      <v:imagedata o:title=""/>
                      <o:lock v:ext="edit" aspectratio="f"/>
                    </v:line>
                  </w:pict>
                </mc:Fallback>
              </mc:AlternateContent>
            </w:r>
            <w:r>
              <w:rPr>
                <w:rFonts w:hint="eastAsia" w:ascii="宋体" w:eastAsia="宋体"/>
                <w:b/>
                <w:szCs w:val="21"/>
              </w:rPr>
              <w:t>服务类型</w:t>
            </w:r>
          </w:p>
          <w:p w14:paraId="03DEC1CA">
            <w:pPr>
              <w:spacing w:line="360" w:lineRule="auto"/>
              <w:ind w:firstLine="873" w:firstLineChars="414"/>
              <w:rPr>
                <w:rFonts w:ascii="宋体" w:eastAsia="宋体"/>
                <w:b/>
                <w:szCs w:val="21"/>
              </w:rPr>
            </w:pPr>
            <w:r>
              <w:rPr>
                <w:rFonts w:hint="eastAsia" w:ascii="宋体" w:eastAsia="宋体"/>
                <w:b/>
                <w:szCs w:val="21"/>
              </w:rPr>
              <w:t>费率　　　　　</w:t>
            </w:r>
          </w:p>
          <w:p w14:paraId="0FC8E862">
            <w:pPr>
              <w:spacing w:line="360" w:lineRule="auto"/>
              <w:rPr>
                <w:rFonts w:ascii="宋体" w:eastAsia="宋体"/>
                <w:b/>
                <w:szCs w:val="21"/>
              </w:rPr>
            </w:pPr>
            <w:r>
              <w:rPr>
                <w:rFonts w:hint="eastAsia" w:ascii="宋体" w:eastAsia="宋体"/>
                <w:b/>
                <w:szCs w:val="21"/>
              </w:rPr>
              <w:t>中标金额（万元）</w:t>
            </w:r>
          </w:p>
        </w:tc>
        <w:tc>
          <w:tcPr>
            <w:tcW w:w="2027" w:type="dxa"/>
            <w:vAlign w:val="center"/>
          </w:tcPr>
          <w:p w14:paraId="464D26C1">
            <w:pPr>
              <w:spacing w:line="360" w:lineRule="auto"/>
              <w:jc w:val="center"/>
              <w:rPr>
                <w:rFonts w:ascii="宋体" w:eastAsia="宋体"/>
                <w:b/>
                <w:szCs w:val="21"/>
              </w:rPr>
            </w:pPr>
            <w:r>
              <w:rPr>
                <w:rFonts w:hint="eastAsia" w:ascii="宋体" w:eastAsia="宋体"/>
                <w:b/>
                <w:szCs w:val="21"/>
              </w:rPr>
              <w:t>货物招标</w:t>
            </w:r>
          </w:p>
        </w:tc>
        <w:tc>
          <w:tcPr>
            <w:tcW w:w="2158" w:type="dxa"/>
            <w:vAlign w:val="center"/>
          </w:tcPr>
          <w:p w14:paraId="57EAE938">
            <w:pPr>
              <w:spacing w:line="360" w:lineRule="auto"/>
              <w:jc w:val="center"/>
              <w:rPr>
                <w:rFonts w:ascii="宋体" w:eastAsia="宋体"/>
                <w:b/>
                <w:szCs w:val="21"/>
              </w:rPr>
            </w:pPr>
            <w:r>
              <w:rPr>
                <w:rFonts w:hint="eastAsia" w:ascii="宋体" w:eastAsia="宋体"/>
                <w:b/>
                <w:szCs w:val="21"/>
              </w:rPr>
              <w:t>服务招标</w:t>
            </w:r>
          </w:p>
        </w:tc>
        <w:tc>
          <w:tcPr>
            <w:tcW w:w="2158" w:type="dxa"/>
            <w:vAlign w:val="center"/>
          </w:tcPr>
          <w:p w14:paraId="39BACDA4">
            <w:pPr>
              <w:spacing w:line="360" w:lineRule="auto"/>
              <w:jc w:val="center"/>
              <w:rPr>
                <w:rFonts w:ascii="宋体" w:eastAsia="宋体"/>
                <w:b/>
                <w:szCs w:val="21"/>
              </w:rPr>
            </w:pPr>
            <w:r>
              <w:rPr>
                <w:rFonts w:hint="eastAsia" w:ascii="宋体" w:eastAsia="宋体"/>
                <w:b/>
                <w:szCs w:val="21"/>
              </w:rPr>
              <w:t>工程招标</w:t>
            </w:r>
          </w:p>
        </w:tc>
      </w:tr>
      <w:tr w14:paraId="38D81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071F66B3">
            <w:pPr>
              <w:spacing w:line="360" w:lineRule="auto"/>
              <w:jc w:val="center"/>
              <w:rPr>
                <w:rFonts w:ascii="宋体" w:eastAsia="宋体"/>
                <w:szCs w:val="21"/>
              </w:rPr>
            </w:pPr>
            <w:r>
              <w:rPr>
                <w:rFonts w:ascii="宋体" w:eastAsia="宋体"/>
                <w:szCs w:val="21"/>
              </w:rPr>
              <w:t>100</w:t>
            </w:r>
            <w:r>
              <w:rPr>
                <w:rFonts w:hint="eastAsia" w:ascii="宋体" w:eastAsia="宋体"/>
                <w:szCs w:val="21"/>
              </w:rPr>
              <w:t>以下</w:t>
            </w:r>
          </w:p>
        </w:tc>
        <w:tc>
          <w:tcPr>
            <w:tcW w:w="2027" w:type="dxa"/>
            <w:vAlign w:val="center"/>
          </w:tcPr>
          <w:p w14:paraId="118B3ED9">
            <w:pPr>
              <w:spacing w:line="360" w:lineRule="auto"/>
              <w:jc w:val="center"/>
              <w:rPr>
                <w:rFonts w:ascii="宋体" w:eastAsia="宋体"/>
                <w:szCs w:val="21"/>
              </w:rPr>
            </w:pPr>
            <w:r>
              <w:rPr>
                <w:rFonts w:ascii="宋体" w:eastAsia="宋体"/>
                <w:szCs w:val="21"/>
              </w:rPr>
              <w:t>1.500%</w:t>
            </w:r>
          </w:p>
        </w:tc>
        <w:tc>
          <w:tcPr>
            <w:tcW w:w="2158" w:type="dxa"/>
            <w:vAlign w:val="center"/>
          </w:tcPr>
          <w:p w14:paraId="11A66107">
            <w:pPr>
              <w:spacing w:line="360" w:lineRule="auto"/>
              <w:jc w:val="center"/>
              <w:rPr>
                <w:rFonts w:ascii="宋体" w:eastAsia="宋体"/>
                <w:szCs w:val="21"/>
              </w:rPr>
            </w:pPr>
            <w:r>
              <w:rPr>
                <w:rFonts w:ascii="宋体" w:eastAsia="宋体"/>
                <w:szCs w:val="21"/>
              </w:rPr>
              <w:t>1.500%</w:t>
            </w:r>
          </w:p>
        </w:tc>
        <w:tc>
          <w:tcPr>
            <w:tcW w:w="2158" w:type="dxa"/>
            <w:vAlign w:val="center"/>
          </w:tcPr>
          <w:p w14:paraId="5F6CE92D">
            <w:pPr>
              <w:snapToGrid w:val="0"/>
              <w:spacing w:line="360" w:lineRule="auto"/>
              <w:jc w:val="center"/>
              <w:rPr>
                <w:rFonts w:ascii="宋体" w:eastAsia="宋体"/>
                <w:szCs w:val="21"/>
              </w:rPr>
            </w:pPr>
            <w:r>
              <w:rPr>
                <w:rFonts w:hint="eastAsia" w:ascii="宋体" w:eastAsia="宋体"/>
                <w:szCs w:val="21"/>
              </w:rPr>
              <w:t>1.000%</w:t>
            </w:r>
          </w:p>
        </w:tc>
      </w:tr>
      <w:tr w14:paraId="08FB3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5417BA97">
            <w:pPr>
              <w:spacing w:line="360" w:lineRule="auto"/>
              <w:jc w:val="center"/>
              <w:rPr>
                <w:rFonts w:ascii="宋体" w:eastAsia="宋体"/>
                <w:szCs w:val="21"/>
              </w:rPr>
            </w:pPr>
            <w:r>
              <w:rPr>
                <w:rFonts w:ascii="宋体" w:eastAsia="宋体"/>
                <w:szCs w:val="21"/>
              </w:rPr>
              <w:t>100</w:t>
            </w:r>
            <w:r>
              <w:rPr>
                <w:rFonts w:hint="eastAsia" w:ascii="宋体" w:eastAsia="宋体"/>
                <w:szCs w:val="21"/>
              </w:rPr>
              <w:t>～</w:t>
            </w:r>
            <w:r>
              <w:rPr>
                <w:rFonts w:ascii="宋体" w:eastAsia="宋体"/>
                <w:szCs w:val="21"/>
              </w:rPr>
              <w:t>500</w:t>
            </w:r>
          </w:p>
        </w:tc>
        <w:tc>
          <w:tcPr>
            <w:tcW w:w="2027" w:type="dxa"/>
            <w:vAlign w:val="center"/>
          </w:tcPr>
          <w:p w14:paraId="4872A529">
            <w:pPr>
              <w:spacing w:line="360" w:lineRule="auto"/>
              <w:jc w:val="center"/>
              <w:rPr>
                <w:rFonts w:ascii="宋体" w:eastAsia="宋体"/>
                <w:szCs w:val="21"/>
              </w:rPr>
            </w:pPr>
            <w:r>
              <w:rPr>
                <w:rFonts w:ascii="宋体" w:eastAsia="宋体"/>
                <w:szCs w:val="21"/>
              </w:rPr>
              <w:t>1.100%</w:t>
            </w:r>
          </w:p>
        </w:tc>
        <w:tc>
          <w:tcPr>
            <w:tcW w:w="2158" w:type="dxa"/>
            <w:vAlign w:val="center"/>
          </w:tcPr>
          <w:p w14:paraId="5B2F0768">
            <w:pPr>
              <w:spacing w:line="360" w:lineRule="auto"/>
              <w:jc w:val="center"/>
              <w:rPr>
                <w:rFonts w:ascii="宋体" w:eastAsia="宋体"/>
                <w:szCs w:val="21"/>
              </w:rPr>
            </w:pPr>
            <w:r>
              <w:rPr>
                <w:rFonts w:ascii="宋体" w:eastAsia="宋体"/>
                <w:szCs w:val="21"/>
              </w:rPr>
              <w:t>0.800%</w:t>
            </w:r>
          </w:p>
        </w:tc>
        <w:tc>
          <w:tcPr>
            <w:tcW w:w="2158" w:type="dxa"/>
            <w:vAlign w:val="center"/>
          </w:tcPr>
          <w:p w14:paraId="501E768D">
            <w:pPr>
              <w:snapToGrid w:val="0"/>
              <w:spacing w:line="360" w:lineRule="auto"/>
              <w:jc w:val="center"/>
              <w:rPr>
                <w:rFonts w:ascii="宋体" w:eastAsia="宋体"/>
                <w:szCs w:val="21"/>
              </w:rPr>
            </w:pPr>
            <w:r>
              <w:rPr>
                <w:rFonts w:hint="eastAsia" w:ascii="宋体" w:eastAsia="宋体"/>
                <w:szCs w:val="21"/>
              </w:rPr>
              <w:t>0.700%</w:t>
            </w:r>
          </w:p>
        </w:tc>
      </w:tr>
      <w:tr w14:paraId="7744B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50D9F55C">
            <w:pPr>
              <w:spacing w:line="360" w:lineRule="auto"/>
              <w:jc w:val="center"/>
              <w:rPr>
                <w:rFonts w:ascii="宋体" w:eastAsia="宋体"/>
                <w:szCs w:val="21"/>
              </w:rPr>
            </w:pPr>
            <w:r>
              <w:rPr>
                <w:rFonts w:ascii="宋体" w:eastAsia="宋体"/>
                <w:szCs w:val="21"/>
              </w:rPr>
              <w:t>500</w:t>
            </w:r>
            <w:r>
              <w:rPr>
                <w:rFonts w:hint="eastAsia" w:ascii="宋体" w:eastAsia="宋体"/>
                <w:szCs w:val="21"/>
              </w:rPr>
              <w:t>～</w:t>
            </w:r>
            <w:r>
              <w:rPr>
                <w:rFonts w:ascii="宋体" w:eastAsia="宋体"/>
                <w:szCs w:val="21"/>
              </w:rPr>
              <w:t>1</w:t>
            </w:r>
            <w:r>
              <w:rPr>
                <w:rFonts w:hint="eastAsia" w:ascii="宋体" w:eastAsia="宋体"/>
                <w:szCs w:val="21"/>
              </w:rPr>
              <w:t>000</w:t>
            </w:r>
          </w:p>
        </w:tc>
        <w:tc>
          <w:tcPr>
            <w:tcW w:w="2027" w:type="dxa"/>
            <w:vAlign w:val="center"/>
          </w:tcPr>
          <w:p w14:paraId="1A16555F">
            <w:pPr>
              <w:spacing w:line="360" w:lineRule="auto"/>
              <w:jc w:val="center"/>
              <w:rPr>
                <w:rFonts w:ascii="宋体" w:eastAsia="宋体"/>
                <w:szCs w:val="21"/>
              </w:rPr>
            </w:pPr>
            <w:r>
              <w:rPr>
                <w:rFonts w:ascii="宋体" w:eastAsia="宋体"/>
                <w:szCs w:val="21"/>
              </w:rPr>
              <w:t>0.800%</w:t>
            </w:r>
          </w:p>
        </w:tc>
        <w:tc>
          <w:tcPr>
            <w:tcW w:w="2158" w:type="dxa"/>
            <w:vAlign w:val="center"/>
          </w:tcPr>
          <w:p w14:paraId="305D3737">
            <w:pPr>
              <w:spacing w:line="360" w:lineRule="auto"/>
              <w:jc w:val="center"/>
              <w:rPr>
                <w:rFonts w:ascii="宋体" w:eastAsia="宋体"/>
                <w:szCs w:val="21"/>
              </w:rPr>
            </w:pPr>
            <w:r>
              <w:rPr>
                <w:rFonts w:ascii="宋体" w:eastAsia="宋体"/>
                <w:szCs w:val="21"/>
              </w:rPr>
              <w:t>0.450%</w:t>
            </w:r>
          </w:p>
        </w:tc>
        <w:tc>
          <w:tcPr>
            <w:tcW w:w="2158" w:type="dxa"/>
            <w:vAlign w:val="center"/>
          </w:tcPr>
          <w:p w14:paraId="4B225653">
            <w:pPr>
              <w:snapToGrid w:val="0"/>
              <w:spacing w:line="360" w:lineRule="auto"/>
              <w:jc w:val="center"/>
              <w:rPr>
                <w:rFonts w:ascii="宋体" w:eastAsia="宋体"/>
                <w:szCs w:val="21"/>
              </w:rPr>
            </w:pPr>
            <w:r>
              <w:rPr>
                <w:rFonts w:hint="eastAsia" w:ascii="宋体" w:eastAsia="宋体"/>
                <w:szCs w:val="21"/>
              </w:rPr>
              <w:t>0.550%</w:t>
            </w:r>
          </w:p>
        </w:tc>
      </w:tr>
      <w:tr w14:paraId="78F60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6F8CE06B">
            <w:pPr>
              <w:spacing w:line="360" w:lineRule="auto"/>
              <w:jc w:val="center"/>
              <w:rPr>
                <w:rFonts w:ascii="宋体" w:eastAsia="宋体"/>
                <w:szCs w:val="21"/>
              </w:rPr>
            </w:pPr>
            <w:r>
              <w:rPr>
                <w:rFonts w:ascii="宋体" w:eastAsia="宋体"/>
                <w:szCs w:val="21"/>
              </w:rPr>
              <w:t>1</w:t>
            </w:r>
            <w:r>
              <w:rPr>
                <w:rFonts w:hint="eastAsia" w:ascii="宋体" w:eastAsia="宋体"/>
                <w:szCs w:val="21"/>
              </w:rPr>
              <w:t>000～</w:t>
            </w:r>
            <w:r>
              <w:rPr>
                <w:rFonts w:ascii="宋体" w:eastAsia="宋体"/>
                <w:szCs w:val="21"/>
              </w:rPr>
              <w:t>5</w:t>
            </w:r>
            <w:r>
              <w:rPr>
                <w:rFonts w:hint="eastAsia" w:ascii="宋体" w:eastAsia="宋体"/>
                <w:szCs w:val="21"/>
              </w:rPr>
              <w:t>000</w:t>
            </w:r>
          </w:p>
        </w:tc>
        <w:tc>
          <w:tcPr>
            <w:tcW w:w="2027" w:type="dxa"/>
            <w:vAlign w:val="center"/>
          </w:tcPr>
          <w:p w14:paraId="6890E89D">
            <w:pPr>
              <w:spacing w:line="360" w:lineRule="auto"/>
              <w:jc w:val="center"/>
              <w:rPr>
                <w:rFonts w:ascii="宋体" w:eastAsia="宋体"/>
                <w:szCs w:val="21"/>
              </w:rPr>
            </w:pPr>
            <w:r>
              <w:rPr>
                <w:rFonts w:ascii="宋体" w:eastAsia="宋体"/>
                <w:szCs w:val="21"/>
              </w:rPr>
              <w:t>0.500%</w:t>
            </w:r>
          </w:p>
        </w:tc>
        <w:tc>
          <w:tcPr>
            <w:tcW w:w="2158" w:type="dxa"/>
            <w:vAlign w:val="center"/>
          </w:tcPr>
          <w:p w14:paraId="74914C76">
            <w:pPr>
              <w:spacing w:line="360" w:lineRule="auto"/>
              <w:jc w:val="center"/>
              <w:rPr>
                <w:rFonts w:ascii="宋体" w:eastAsia="宋体"/>
                <w:szCs w:val="21"/>
              </w:rPr>
            </w:pPr>
            <w:r>
              <w:rPr>
                <w:rFonts w:ascii="宋体" w:eastAsia="宋体"/>
                <w:szCs w:val="21"/>
              </w:rPr>
              <w:t>0.250%</w:t>
            </w:r>
          </w:p>
        </w:tc>
        <w:tc>
          <w:tcPr>
            <w:tcW w:w="2158" w:type="dxa"/>
            <w:vAlign w:val="center"/>
          </w:tcPr>
          <w:p w14:paraId="68751C4E">
            <w:pPr>
              <w:snapToGrid w:val="0"/>
              <w:spacing w:line="360" w:lineRule="auto"/>
              <w:jc w:val="center"/>
              <w:rPr>
                <w:rFonts w:ascii="宋体" w:eastAsia="宋体"/>
                <w:szCs w:val="21"/>
              </w:rPr>
            </w:pPr>
            <w:r>
              <w:rPr>
                <w:rFonts w:hint="eastAsia" w:ascii="宋体" w:eastAsia="宋体"/>
                <w:szCs w:val="21"/>
              </w:rPr>
              <w:t>0.350%</w:t>
            </w:r>
          </w:p>
        </w:tc>
      </w:tr>
      <w:tr w14:paraId="33C43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356050F">
            <w:pPr>
              <w:spacing w:line="360" w:lineRule="auto"/>
              <w:jc w:val="center"/>
              <w:rPr>
                <w:rFonts w:ascii="宋体" w:eastAsia="宋体"/>
                <w:szCs w:val="21"/>
              </w:rPr>
            </w:pPr>
            <w:r>
              <w:rPr>
                <w:rFonts w:ascii="宋体" w:eastAsia="宋体"/>
                <w:szCs w:val="21"/>
              </w:rPr>
              <w:t>5</w:t>
            </w:r>
            <w:r>
              <w:rPr>
                <w:rFonts w:hint="eastAsia" w:ascii="宋体" w:eastAsia="宋体"/>
                <w:szCs w:val="21"/>
              </w:rPr>
              <w:t>000～</w:t>
            </w:r>
            <w:r>
              <w:rPr>
                <w:rFonts w:ascii="宋体" w:eastAsia="宋体"/>
                <w:szCs w:val="21"/>
              </w:rPr>
              <w:t>1</w:t>
            </w:r>
            <w:r>
              <w:rPr>
                <w:rFonts w:hint="eastAsia" w:ascii="宋体" w:eastAsia="宋体"/>
                <w:szCs w:val="21"/>
              </w:rPr>
              <w:t>0000</w:t>
            </w:r>
          </w:p>
        </w:tc>
        <w:tc>
          <w:tcPr>
            <w:tcW w:w="2027" w:type="dxa"/>
            <w:vAlign w:val="center"/>
          </w:tcPr>
          <w:p w14:paraId="3BA0F96C">
            <w:pPr>
              <w:spacing w:line="360" w:lineRule="auto"/>
              <w:jc w:val="center"/>
              <w:rPr>
                <w:rFonts w:ascii="宋体" w:eastAsia="宋体"/>
                <w:szCs w:val="21"/>
              </w:rPr>
            </w:pPr>
            <w:r>
              <w:rPr>
                <w:rFonts w:ascii="宋体" w:eastAsia="宋体"/>
                <w:szCs w:val="21"/>
              </w:rPr>
              <w:t>0.250%</w:t>
            </w:r>
          </w:p>
        </w:tc>
        <w:tc>
          <w:tcPr>
            <w:tcW w:w="2158" w:type="dxa"/>
            <w:vAlign w:val="center"/>
          </w:tcPr>
          <w:p w14:paraId="18A9C098">
            <w:pPr>
              <w:spacing w:line="360" w:lineRule="auto"/>
              <w:jc w:val="center"/>
              <w:rPr>
                <w:rFonts w:ascii="宋体" w:eastAsia="宋体"/>
                <w:szCs w:val="21"/>
              </w:rPr>
            </w:pPr>
            <w:r>
              <w:rPr>
                <w:rFonts w:ascii="宋体" w:eastAsia="宋体"/>
                <w:szCs w:val="21"/>
              </w:rPr>
              <w:t>0.100%</w:t>
            </w:r>
          </w:p>
        </w:tc>
        <w:tc>
          <w:tcPr>
            <w:tcW w:w="2158" w:type="dxa"/>
            <w:vAlign w:val="center"/>
          </w:tcPr>
          <w:p w14:paraId="515D13CE">
            <w:pPr>
              <w:snapToGrid w:val="0"/>
              <w:spacing w:line="360" w:lineRule="auto"/>
              <w:jc w:val="center"/>
              <w:rPr>
                <w:rFonts w:ascii="宋体" w:eastAsia="宋体"/>
                <w:szCs w:val="21"/>
              </w:rPr>
            </w:pPr>
            <w:r>
              <w:rPr>
                <w:rFonts w:hint="eastAsia" w:ascii="宋体" w:eastAsia="宋体"/>
                <w:szCs w:val="21"/>
              </w:rPr>
              <w:t>0.200%</w:t>
            </w:r>
          </w:p>
        </w:tc>
      </w:tr>
      <w:tr w14:paraId="4B674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802" w:type="dxa"/>
            <w:vAlign w:val="center"/>
          </w:tcPr>
          <w:p w14:paraId="3D73EC9B">
            <w:pPr>
              <w:spacing w:line="360" w:lineRule="auto"/>
              <w:jc w:val="center"/>
              <w:rPr>
                <w:rFonts w:ascii="宋体" w:eastAsia="宋体"/>
                <w:szCs w:val="21"/>
              </w:rPr>
            </w:pPr>
            <w:r>
              <w:rPr>
                <w:rFonts w:ascii="宋体" w:eastAsia="宋体"/>
                <w:szCs w:val="21"/>
              </w:rPr>
              <w:t>1</w:t>
            </w:r>
            <w:r>
              <w:rPr>
                <w:rFonts w:hint="eastAsia" w:ascii="宋体" w:eastAsia="宋体"/>
                <w:szCs w:val="21"/>
              </w:rPr>
              <w:t>0000～</w:t>
            </w:r>
            <w:r>
              <w:rPr>
                <w:rFonts w:ascii="宋体" w:eastAsia="宋体"/>
                <w:szCs w:val="21"/>
              </w:rPr>
              <w:t>5</w:t>
            </w:r>
            <w:r>
              <w:rPr>
                <w:rFonts w:hint="eastAsia" w:ascii="宋体" w:eastAsia="宋体"/>
                <w:szCs w:val="21"/>
              </w:rPr>
              <w:t>0000</w:t>
            </w:r>
          </w:p>
        </w:tc>
        <w:tc>
          <w:tcPr>
            <w:tcW w:w="2027" w:type="dxa"/>
            <w:vAlign w:val="center"/>
          </w:tcPr>
          <w:p w14:paraId="69FF5041">
            <w:pPr>
              <w:spacing w:line="360" w:lineRule="auto"/>
              <w:jc w:val="center"/>
              <w:rPr>
                <w:rFonts w:ascii="宋体" w:eastAsia="宋体"/>
                <w:szCs w:val="21"/>
              </w:rPr>
            </w:pPr>
            <w:r>
              <w:rPr>
                <w:rFonts w:ascii="宋体" w:eastAsia="宋体"/>
                <w:szCs w:val="21"/>
              </w:rPr>
              <w:t>0.050%</w:t>
            </w:r>
          </w:p>
        </w:tc>
        <w:tc>
          <w:tcPr>
            <w:tcW w:w="2158" w:type="dxa"/>
            <w:vAlign w:val="center"/>
          </w:tcPr>
          <w:p w14:paraId="031FA2C9">
            <w:pPr>
              <w:spacing w:line="360" w:lineRule="auto"/>
              <w:jc w:val="center"/>
              <w:rPr>
                <w:rFonts w:ascii="宋体" w:eastAsia="宋体"/>
                <w:szCs w:val="21"/>
              </w:rPr>
            </w:pPr>
            <w:r>
              <w:rPr>
                <w:rFonts w:ascii="宋体" w:eastAsia="宋体"/>
                <w:szCs w:val="21"/>
              </w:rPr>
              <w:t>0.050%</w:t>
            </w:r>
          </w:p>
        </w:tc>
        <w:tc>
          <w:tcPr>
            <w:tcW w:w="2158" w:type="dxa"/>
            <w:vAlign w:val="center"/>
          </w:tcPr>
          <w:p w14:paraId="572E85C3">
            <w:pPr>
              <w:snapToGrid w:val="0"/>
              <w:spacing w:line="360" w:lineRule="auto"/>
              <w:jc w:val="center"/>
              <w:rPr>
                <w:rFonts w:ascii="宋体" w:eastAsia="宋体"/>
                <w:szCs w:val="21"/>
              </w:rPr>
            </w:pPr>
            <w:r>
              <w:rPr>
                <w:rFonts w:hint="eastAsia" w:ascii="宋体" w:eastAsia="宋体"/>
                <w:szCs w:val="21"/>
              </w:rPr>
              <w:t>0.050%</w:t>
            </w:r>
          </w:p>
        </w:tc>
      </w:tr>
      <w:tr w14:paraId="2096A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29170FE1">
            <w:pPr>
              <w:spacing w:line="360" w:lineRule="auto"/>
              <w:jc w:val="center"/>
              <w:rPr>
                <w:rFonts w:ascii="宋体" w:eastAsia="宋体"/>
                <w:szCs w:val="21"/>
              </w:rPr>
            </w:pPr>
            <w:r>
              <w:rPr>
                <w:rFonts w:ascii="宋体" w:eastAsia="宋体"/>
                <w:szCs w:val="21"/>
              </w:rPr>
              <w:t>5</w:t>
            </w:r>
            <w:r>
              <w:rPr>
                <w:rFonts w:hint="eastAsia" w:ascii="宋体" w:eastAsia="宋体"/>
                <w:szCs w:val="21"/>
              </w:rPr>
              <w:t>0000～</w:t>
            </w:r>
            <w:r>
              <w:rPr>
                <w:rFonts w:ascii="宋体" w:eastAsia="宋体"/>
                <w:szCs w:val="21"/>
              </w:rPr>
              <w:t>10</w:t>
            </w:r>
            <w:r>
              <w:rPr>
                <w:rFonts w:hint="eastAsia" w:ascii="宋体" w:eastAsia="宋体"/>
                <w:szCs w:val="21"/>
              </w:rPr>
              <w:t>0000</w:t>
            </w:r>
          </w:p>
        </w:tc>
        <w:tc>
          <w:tcPr>
            <w:tcW w:w="2027" w:type="dxa"/>
            <w:vAlign w:val="center"/>
          </w:tcPr>
          <w:p w14:paraId="79BDD5E8">
            <w:pPr>
              <w:spacing w:line="360" w:lineRule="auto"/>
              <w:jc w:val="center"/>
              <w:rPr>
                <w:rFonts w:ascii="宋体" w:eastAsia="宋体"/>
                <w:szCs w:val="21"/>
              </w:rPr>
            </w:pPr>
            <w:r>
              <w:rPr>
                <w:rFonts w:ascii="宋体" w:eastAsia="宋体"/>
                <w:szCs w:val="21"/>
              </w:rPr>
              <w:t>0.035%</w:t>
            </w:r>
          </w:p>
        </w:tc>
        <w:tc>
          <w:tcPr>
            <w:tcW w:w="2158" w:type="dxa"/>
            <w:vAlign w:val="center"/>
          </w:tcPr>
          <w:p w14:paraId="7E478820">
            <w:pPr>
              <w:spacing w:line="360" w:lineRule="auto"/>
              <w:jc w:val="center"/>
              <w:rPr>
                <w:rFonts w:ascii="宋体" w:eastAsia="宋体"/>
                <w:szCs w:val="21"/>
              </w:rPr>
            </w:pPr>
            <w:r>
              <w:rPr>
                <w:rFonts w:ascii="宋体" w:eastAsia="宋体"/>
                <w:szCs w:val="21"/>
              </w:rPr>
              <w:t>0.035%</w:t>
            </w:r>
          </w:p>
        </w:tc>
        <w:tc>
          <w:tcPr>
            <w:tcW w:w="2158" w:type="dxa"/>
            <w:vAlign w:val="center"/>
          </w:tcPr>
          <w:p w14:paraId="18F1205B">
            <w:pPr>
              <w:snapToGrid w:val="0"/>
              <w:spacing w:line="360" w:lineRule="auto"/>
              <w:jc w:val="center"/>
              <w:rPr>
                <w:rFonts w:ascii="宋体" w:eastAsia="宋体"/>
                <w:bCs/>
                <w:szCs w:val="21"/>
              </w:rPr>
            </w:pPr>
            <w:r>
              <w:rPr>
                <w:rFonts w:hint="eastAsia" w:ascii="宋体" w:eastAsia="宋体"/>
                <w:bCs/>
                <w:szCs w:val="21"/>
              </w:rPr>
              <w:t>0.035%</w:t>
            </w:r>
          </w:p>
        </w:tc>
      </w:tr>
      <w:tr w14:paraId="129DC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125D1FFF">
            <w:pPr>
              <w:spacing w:line="360" w:lineRule="auto"/>
              <w:jc w:val="center"/>
              <w:rPr>
                <w:rFonts w:ascii="宋体" w:eastAsia="宋体"/>
                <w:szCs w:val="21"/>
              </w:rPr>
            </w:pPr>
            <w:r>
              <w:rPr>
                <w:rFonts w:ascii="宋体" w:eastAsia="宋体"/>
                <w:szCs w:val="21"/>
              </w:rPr>
              <w:t>10</w:t>
            </w:r>
            <w:r>
              <w:rPr>
                <w:rFonts w:hint="eastAsia" w:ascii="宋体" w:eastAsia="宋体"/>
                <w:szCs w:val="21"/>
              </w:rPr>
              <w:t>0000～</w:t>
            </w:r>
            <w:r>
              <w:rPr>
                <w:rFonts w:ascii="宋体" w:eastAsia="宋体"/>
                <w:szCs w:val="21"/>
              </w:rPr>
              <w:t>50</w:t>
            </w:r>
            <w:r>
              <w:rPr>
                <w:rFonts w:hint="eastAsia" w:ascii="宋体" w:eastAsia="宋体"/>
                <w:szCs w:val="21"/>
              </w:rPr>
              <w:t>0000</w:t>
            </w:r>
          </w:p>
        </w:tc>
        <w:tc>
          <w:tcPr>
            <w:tcW w:w="2027" w:type="dxa"/>
            <w:vAlign w:val="center"/>
          </w:tcPr>
          <w:p w14:paraId="4CD7E1FB">
            <w:pPr>
              <w:spacing w:line="360" w:lineRule="auto"/>
              <w:jc w:val="center"/>
              <w:rPr>
                <w:rFonts w:ascii="宋体" w:eastAsia="宋体"/>
                <w:szCs w:val="21"/>
              </w:rPr>
            </w:pPr>
            <w:r>
              <w:rPr>
                <w:rFonts w:ascii="宋体" w:eastAsia="宋体"/>
                <w:szCs w:val="21"/>
              </w:rPr>
              <w:t>0.008%</w:t>
            </w:r>
          </w:p>
        </w:tc>
        <w:tc>
          <w:tcPr>
            <w:tcW w:w="2158" w:type="dxa"/>
            <w:vAlign w:val="center"/>
          </w:tcPr>
          <w:p w14:paraId="64BD45F9">
            <w:pPr>
              <w:spacing w:line="360" w:lineRule="auto"/>
              <w:jc w:val="center"/>
              <w:rPr>
                <w:rFonts w:ascii="宋体" w:eastAsia="宋体"/>
                <w:szCs w:val="21"/>
              </w:rPr>
            </w:pPr>
            <w:r>
              <w:rPr>
                <w:rFonts w:ascii="宋体" w:eastAsia="宋体"/>
                <w:szCs w:val="21"/>
              </w:rPr>
              <w:t>0.008%</w:t>
            </w:r>
          </w:p>
        </w:tc>
        <w:tc>
          <w:tcPr>
            <w:tcW w:w="2158" w:type="dxa"/>
            <w:vAlign w:val="center"/>
          </w:tcPr>
          <w:p w14:paraId="23507B1F">
            <w:pPr>
              <w:snapToGrid w:val="0"/>
              <w:spacing w:line="360" w:lineRule="auto"/>
              <w:jc w:val="center"/>
              <w:rPr>
                <w:rFonts w:ascii="宋体" w:eastAsia="宋体"/>
                <w:bCs/>
                <w:szCs w:val="21"/>
              </w:rPr>
            </w:pPr>
            <w:r>
              <w:rPr>
                <w:rFonts w:hint="eastAsia" w:ascii="宋体" w:eastAsia="宋体"/>
                <w:bCs/>
                <w:szCs w:val="21"/>
              </w:rPr>
              <w:t>0.008%</w:t>
            </w:r>
          </w:p>
        </w:tc>
      </w:tr>
      <w:tr w14:paraId="4061B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1A3453B">
            <w:pPr>
              <w:spacing w:line="360" w:lineRule="auto"/>
              <w:jc w:val="center"/>
              <w:rPr>
                <w:rFonts w:ascii="宋体" w:eastAsia="宋体"/>
                <w:szCs w:val="21"/>
              </w:rPr>
            </w:pPr>
            <w:r>
              <w:rPr>
                <w:rFonts w:ascii="宋体" w:eastAsia="宋体"/>
                <w:szCs w:val="21"/>
              </w:rPr>
              <w:t>50</w:t>
            </w:r>
            <w:r>
              <w:rPr>
                <w:rFonts w:hint="eastAsia" w:ascii="宋体" w:eastAsia="宋体"/>
                <w:szCs w:val="21"/>
              </w:rPr>
              <w:t>0000～</w:t>
            </w:r>
            <w:r>
              <w:rPr>
                <w:rFonts w:ascii="宋体" w:eastAsia="宋体"/>
                <w:szCs w:val="21"/>
              </w:rPr>
              <w:t>100</w:t>
            </w:r>
            <w:r>
              <w:rPr>
                <w:rFonts w:hint="eastAsia" w:ascii="宋体" w:eastAsia="宋体"/>
                <w:szCs w:val="21"/>
              </w:rPr>
              <w:t>0000</w:t>
            </w:r>
          </w:p>
        </w:tc>
        <w:tc>
          <w:tcPr>
            <w:tcW w:w="2027" w:type="dxa"/>
            <w:vAlign w:val="center"/>
          </w:tcPr>
          <w:p w14:paraId="542485C0">
            <w:pPr>
              <w:spacing w:line="360" w:lineRule="auto"/>
              <w:jc w:val="center"/>
              <w:rPr>
                <w:rFonts w:ascii="宋体" w:eastAsia="宋体"/>
                <w:szCs w:val="21"/>
              </w:rPr>
            </w:pPr>
            <w:r>
              <w:rPr>
                <w:rFonts w:ascii="宋体" w:eastAsia="宋体"/>
                <w:szCs w:val="21"/>
              </w:rPr>
              <w:t>0.006%</w:t>
            </w:r>
          </w:p>
        </w:tc>
        <w:tc>
          <w:tcPr>
            <w:tcW w:w="2158" w:type="dxa"/>
            <w:vAlign w:val="center"/>
          </w:tcPr>
          <w:p w14:paraId="32B09370">
            <w:pPr>
              <w:spacing w:line="360" w:lineRule="auto"/>
              <w:jc w:val="center"/>
              <w:rPr>
                <w:rFonts w:ascii="宋体" w:eastAsia="宋体"/>
                <w:szCs w:val="21"/>
              </w:rPr>
            </w:pPr>
            <w:r>
              <w:rPr>
                <w:rFonts w:ascii="宋体" w:eastAsia="宋体"/>
                <w:szCs w:val="21"/>
              </w:rPr>
              <w:t>0.006%</w:t>
            </w:r>
          </w:p>
        </w:tc>
        <w:tc>
          <w:tcPr>
            <w:tcW w:w="2158" w:type="dxa"/>
            <w:vAlign w:val="center"/>
          </w:tcPr>
          <w:p w14:paraId="2378A5E6">
            <w:pPr>
              <w:snapToGrid w:val="0"/>
              <w:spacing w:line="360" w:lineRule="auto"/>
              <w:jc w:val="center"/>
              <w:rPr>
                <w:rFonts w:ascii="宋体" w:eastAsia="宋体"/>
                <w:bCs/>
                <w:szCs w:val="21"/>
              </w:rPr>
            </w:pPr>
            <w:r>
              <w:rPr>
                <w:rFonts w:hint="eastAsia" w:ascii="宋体" w:eastAsia="宋体"/>
                <w:bCs/>
                <w:szCs w:val="21"/>
              </w:rPr>
              <w:t>0.006%</w:t>
            </w:r>
          </w:p>
        </w:tc>
      </w:tr>
      <w:tr w14:paraId="3CE48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2" w:type="dxa"/>
            <w:vAlign w:val="center"/>
          </w:tcPr>
          <w:p w14:paraId="525E1C2C">
            <w:pPr>
              <w:spacing w:line="360" w:lineRule="auto"/>
              <w:jc w:val="center"/>
              <w:rPr>
                <w:rFonts w:ascii="宋体" w:eastAsia="宋体"/>
                <w:szCs w:val="21"/>
              </w:rPr>
            </w:pPr>
            <w:r>
              <w:rPr>
                <w:rFonts w:ascii="宋体" w:eastAsia="宋体"/>
                <w:szCs w:val="21"/>
              </w:rPr>
              <w:t>100</w:t>
            </w:r>
            <w:r>
              <w:rPr>
                <w:rFonts w:hint="eastAsia" w:ascii="宋体" w:eastAsia="宋体"/>
                <w:szCs w:val="21"/>
              </w:rPr>
              <w:t>0000以上</w:t>
            </w:r>
          </w:p>
        </w:tc>
        <w:tc>
          <w:tcPr>
            <w:tcW w:w="2027" w:type="dxa"/>
            <w:vAlign w:val="center"/>
          </w:tcPr>
          <w:p w14:paraId="27CDD921">
            <w:pPr>
              <w:spacing w:line="360" w:lineRule="auto"/>
              <w:jc w:val="center"/>
              <w:rPr>
                <w:rFonts w:ascii="宋体" w:eastAsia="宋体"/>
                <w:szCs w:val="21"/>
              </w:rPr>
            </w:pPr>
            <w:r>
              <w:rPr>
                <w:rFonts w:ascii="宋体" w:eastAsia="宋体"/>
                <w:szCs w:val="21"/>
              </w:rPr>
              <w:t>0.004%</w:t>
            </w:r>
          </w:p>
        </w:tc>
        <w:tc>
          <w:tcPr>
            <w:tcW w:w="2158" w:type="dxa"/>
            <w:vAlign w:val="center"/>
          </w:tcPr>
          <w:p w14:paraId="6347B975">
            <w:pPr>
              <w:spacing w:line="360" w:lineRule="auto"/>
              <w:jc w:val="center"/>
              <w:rPr>
                <w:rFonts w:ascii="宋体" w:eastAsia="宋体"/>
                <w:szCs w:val="21"/>
              </w:rPr>
            </w:pPr>
            <w:r>
              <w:rPr>
                <w:rFonts w:ascii="宋体" w:eastAsia="宋体"/>
                <w:szCs w:val="21"/>
              </w:rPr>
              <w:t>0.004%</w:t>
            </w:r>
          </w:p>
        </w:tc>
        <w:tc>
          <w:tcPr>
            <w:tcW w:w="2158" w:type="dxa"/>
            <w:vAlign w:val="center"/>
          </w:tcPr>
          <w:p w14:paraId="3FD8CB1B">
            <w:pPr>
              <w:snapToGrid w:val="0"/>
              <w:spacing w:line="360" w:lineRule="auto"/>
              <w:jc w:val="center"/>
              <w:rPr>
                <w:rFonts w:ascii="宋体" w:eastAsia="宋体"/>
                <w:bCs/>
                <w:szCs w:val="21"/>
              </w:rPr>
            </w:pPr>
            <w:r>
              <w:rPr>
                <w:rFonts w:hint="eastAsia" w:ascii="宋体" w:eastAsia="宋体"/>
                <w:bCs/>
                <w:szCs w:val="21"/>
              </w:rPr>
              <w:t>0.004%</w:t>
            </w:r>
          </w:p>
        </w:tc>
      </w:tr>
    </w:tbl>
    <w:p w14:paraId="3D9D38D0">
      <w:pPr>
        <w:spacing w:line="360" w:lineRule="auto"/>
        <w:ind w:firstLine="411" w:firstLineChars="196"/>
        <w:rPr>
          <w:rFonts w:ascii="宋体" w:eastAsia="宋体"/>
          <w:szCs w:val="21"/>
        </w:rPr>
      </w:pPr>
    </w:p>
    <w:bookmarkEnd w:id="75"/>
    <w:p w14:paraId="0541A038">
      <w:pPr>
        <w:pStyle w:val="5"/>
        <w:widowControl/>
        <w:numPr>
          <w:ilvl w:val="0"/>
          <w:numId w:val="14"/>
        </w:numPr>
        <w:spacing w:before="120" w:beforeLines="50" w:after="120" w:afterLines="50" w:line="360" w:lineRule="auto"/>
        <w:ind w:left="562" w:hanging="562"/>
        <w:rPr>
          <w:rFonts w:ascii="宋体" w:eastAsia="宋体"/>
          <w:sz w:val="28"/>
          <w:szCs w:val="28"/>
        </w:rPr>
      </w:pPr>
      <w:r>
        <w:rPr>
          <w:rFonts w:hint="eastAsia" w:ascii="宋体" w:eastAsia="宋体"/>
          <w:sz w:val="28"/>
          <w:szCs w:val="28"/>
        </w:rPr>
        <w:t>公开招标失败的后续处理</w:t>
      </w:r>
    </w:p>
    <w:p w14:paraId="60D4C57D">
      <w:pPr>
        <w:spacing w:line="360" w:lineRule="auto"/>
        <w:rPr>
          <w:rFonts w:ascii="宋体" w:eastAsia="宋体"/>
          <w:b/>
          <w:bCs/>
          <w:szCs w:val="21"/>
        </w:rPr>
      </w:pPr>
      <w:r>
        <w:rPr>
          <w:rFonts w:hint="eastAsia" w:ascii="宋体" w:eastAsia="宋体"/>
          <w:b/>
          <w:bCs/>
          <w:szCs w:val="21"/>
        </w:rPr>
        <w:t>42．公开招标失败的处理</w:t>
      </w:r>
    </w:p>
    <w:p w14:paraId="51EA1383">
      <w:pPr>
        <w:spacing w:line="360" w:lineRule="auto"/>
        <w:ind w:firstLine="411" w:firstLineChars="196"/>
        <w:rPr>
          <w:rFonts w:ascii="宋体" w:eastAsia="宋体"/>
          <w:szCs w:val="21"/>
        </w:rPr>
      </w:pPr>
      <w:r>
        <w:rPr>
          <w:rFonts w:hint="eastAsia" w:ascii="宋体" w:eastAsia="宋体"/>
          <w:szCs w:val="21"/>
        </w:rPr>
        <w:t>42.1本项目公开招标过程中若由于投标截止后实际递交</w:t>
      </w:r>
      <w:r>
        <w:rPr>
          <w:rFonts w:ascii="宋体" w:eastAsia="宋体"/>
          <w:szCs w:val="21"/>
        </w:rPr>
        <w:t>投标</w:t>
      </w:r>
      <w:r>
        <w:rPr>
          <w:rFonts w:hint="eastAsia" w:ascii="宋体" w:eastAsia="宋体"/>
          <w:szCs w:val="21"/>
        </w:rPr>
        <w:t>文件的供应商数量不足、经评审委员会评审对招标文件作实质响应的供应商不足等原因造成公开招标失败，可由</w:t>
      </w:r>
      <w:r>
        <w:rPr>
          <w:rFonts w:hint="eastAsia" w:ascii="宋体" w:eastAsia="宋体" w:cs="宋体"/>
          <w:szCs w:val="21"/>
        </w:rPr>
        <w:t>采购代理机构</w:t>
      </w:r>
      <w:r>
        <w:rPr>
          <w:rFonts w:hint="eastAsia" w:ascii="宋体" w:eastAsia="宋体"/>
          <w:szCs w:val="21"/>
        </w:rPr>
        <w:t>重新组织采购。</w:t>
      </w:r>
    </w:p>
    <w:p w14:paraId="08299B4E">
      <w:pPr>
        <w:spacing w:line="360" w:lineRule="auto"/>
        <w:ind w:firstLine="411" w:firstLineChars="196"/>
        <w:rPr>
          <w:rFonts w:ascii="宋体" w:eastAsia="宋体"/>
          <w:szCs w:val="21"/>
        </w:rPr>
      </w:pPr>
      <w:r>
        <w:rPr>
          <w:rFonts w:hint="eastAsia" w:ascii="宋体" w:eastAsia="宋体"/>
          <w:szCs w:val="21"/>
        </w:rPr>
        <w:t>42.2对公开招标失败的项目，评审委员会在出具该项目招标失败结论的同时，可以提出重新采购组织形式的建议，以及进一步完善招标文件的资格、技术、商务要求的修改建议。</w:t>
      </w:r>
    </w:p>
    <w:p w14:paraId="0F82727E">
      <w:pPr>
        <w:spacing w:line="360" w:lineRule="auto"/>
        <w:ind w:firstLine="411" w:firstLineChars="196"/>
        <w:rPr>
          <w:rFonts w:ascii="宋体" w:eastAsia="宋体"/>
          <w:szCs w:val="21"/>
        </w:rPr>
      </w:pPr>
      <w:r>
        <w:rPr>
          <w:rFonts w:hint="eastAsia" w:ascii="宋体" w:eastAsia="宋体"/>
          <w:szCs w:val="21"/>
        </w:rPr>
        <w:t>42.3重新组织采购有以下两种组织形式：</w:t>
      </w:r>
    </w:p>
    <w:p w14:paraId="47E740DF">
      <w:pPr>
        <w:spacing w:line="360" w:lineRule="auto"/>
        <w:ind w:firstLine="411" w:firstLineChars="196"/>
        <w:rPr>
          <w:rFonts w:ascii="宋体" w:eastAsia="宋体"/>
          <w:szCs w:val="21"/>
        </w:rPr>
      </w:pPr>
      <w:r>
        <w:rPr>
          <w:rFonts w:hint="eastAsia" w:ascii="宋体" w:eastAsia="宋体"/>
          <w:szCs w:val="21"/>
        </w:rPr>
        <w:t>（1）由采购代理机构重新组织公开招标；</w:t>
      </w:r>
    </w:p>
    <w:p w14:paraId="6F4AE31D">
      <w:pPr>
        <w:spacing w:line="360" w:lineRule="auto"/>
        <w:ind w:firstLine="411" w:firstLineChars="196"/>
        <w:rPr>
          <w:rFonts w:ascii="宋体" w:eastAsia="宋体"/>
          <w:szCs w:val="21"/>
        </w:rPr>
      </w:pPr>
      <w:r>
        <w:rPr>
          <w:rFonts w:hint="eastAsia" w:ascii="宋体" w:eastAsia="宋体"/>
          <w:szCs w:val="21"/>
        </w:rPr>
        <w:t>（2）根据实际情况需要向同级财政部门提出非公开招标方式申请的，经同级财政部门批准，公开招标失败采购项目可转为竞争性谈判或单一来源谈判方式采购。</w:t>
      </w:r>
    </w:p>
    <w:p w14:paraId="04394C74">
      <w:pPr>
        <w:spacing w:line="360" w:lineRule="auto"/>
        <w:ind w:firstLine="411" w:firstLineChars="196"/>
        <w:rPr>
          <w:rFonts w:ascii="宋体" w:eastAsia="宋体"/>
          <w:szCs w:val="21"/>
        </w:rPr>
      </w:pPr>
      <w:r>
        <w:rPr>
          <w:rFonts w:hint="eastAsia" w:ascii="宋体" w:eastAsia="宋体"/>
          <w:szCs w:val="21"/>
        </w:rPr>
        <w:t>42.4公开招标失败的采购项目重新组织公开招标，由采购代理机构重新按公开招标流程组织采购活动。</w:t>
      </w:r>
    </w:p>
    <w:p w14:paraId="38B4EB0E">
      <w:pPr>
        <w:spacing w:line="360" w:lineRule="auto"/>
        <w:rPr>
          <w:rFonts w:ascii="宋体" w:eastAsia="宋体"/>
          <w:szCs w:val="21"/>
        </w:rPr>
      </w:pPr>
      <w:r>
        <w:rPr>
          <w:rFonts w:hint="eastAsia" w:ascii="宋体" w:eastAsia="宋体"/>
          <w:szCs w:val="21"/>
        </w:rPr>
        <w:t>42.5公开招标失败的采购项目经同级财政部门批准转为竞争性谈判或单一来源谈判方式采购的，按规定要求组织政府采购工作。</w:t>
      </w:r>
    </w:p>
    <w:p w14:paraId="594DA5C4">
      <w:pPr>
        <w:pStyle w:val="5"/>
        <w:widowControl/>
        <w:numPr>
          <w:ilvl w:val="0"/>
          <w:numId w:val="14"/>
        </w:numPr>
        <w:spacing w:before="120" w:beforeLines="50" w:after="120" w:afterLines="50" w:line="360" w:lineRule="auto"/>
        <w:ind w:left="562" w:hanging="562"/>
        <w:rPr>
          <w:rFonts w:ascii="宋体" w:eastAsia="宋体"/>
          <w:sz w:val="28"/>
          <w:szCs w:val="28"/>
        </w:rPr>
      </w:pPr>
      <w:bookmarkStart w:id="76" w:name="_Hlk72439043"/>
      <w:r>
        <w:rPr>
          <w:rFonts w:hint="eastAsia" w:ascii="宋体" w:eastAsia="宋体"/>
          <w:sz w:val="28"/>
          <w:szCs w:val="28"/>
        </w:rPr>
        <w:t>合同的授予与备案</w:t>
      </w:r>
      <w:bookmarkEnd w:id="76"/>
    </w:p>
    <w:p w14:paraId="578100F0">
      <w:pPr>
        <w:spacing w:line="360" w:lineRule="auto"/>
        <w:rPr>
          <w:rFonts w:ascii="宋体" w:eastAsia="宋体"/>
          <w:b/>
          <w:bCs/>
          <w:szCs w:val="21"/>
        </w:rPr>
      </w:pPr>
      <w:bookmarkStart w:id="77" w:name="_Toc100052408"/>
      <w:bookmarkStart w:id="78" w:name="_Toc73518157"/>
      <w:bookmarkStart w:id="79" w:name="_Toc73521586"/>
      <w:bookmarkStart w:id="80" w:name="_Toc73517679"/>
      <w:bookmarkStart w:id="81" w:name="_Toc73521674"/>
      <w:bookmarkStart w:id="82" w:name="_Hlk72439088"/>
      <w:r>
        <w:rPr>
          <w:rFonts w:hint="eastAsia" w:ascii="宋体" w:eastAsia="宋体"/>
          <w:b/>
          <w:bCs/>
          <w:szCs w:val="21"/>
        </w:rPr>
        <w:t>43．合同授予标准</w:t>
      </w:r>
      <w:bookmarkEnd w:id="77"/>
      <w:bookmarkEnd w:id="78"/>
      <w:bookmarkEnd w:id="79"/>
      <w:bookmarkEnd w:id="80"/>
      <w:bookmarkEnd w:id="81"/>
    </w:p>
    <w:p w14:paraId="508DBAE7">
      <w:pPr>
        <w:spacing w:line="360" w:lineRule="auto"/>
        <w:ind w:firstLine="411" w:firstLineChars="196"/>
        <w:rPr>
          <w:rFonts w:ascii="宋体" w:eastAsia="宋体"/>
          <w:szCs w:val="21"/>
        </w:rPr>
      </w:pPr>
      <w:r>
        <w:rPr>
          <w:rFonts w:hint="eastAsia" w:ascii="宋体" w:eastAsia="宋体"/>
          <w:szCs w:val="21"/>
        </w:rPr>
        <w:t>本项目的合同将授予经本招标文件规定评审确定的中标供应商。</w:t>
      </w:r>
    </w:p>
    <w:p w14:paraId="30A3C234">
      <w:pPr>
        <w:spacing w:line="360" w:lineRule="auto"/>
        <w:rPr>
          <w:rFonts w:ascii="宋体" w:eastAsia="宋体"/>
          <w:b/>
          <w:bCs/>
          <w:szCs w:val="21"/>
        </w:rPr>
      </w:pPr>
      <w:bookmarkStart w:id="83" w:name="_Toc100052409"/>
      <w:bookmarkStart w:id="84" w:name="_Toc73521587"/>
      <w:bookmarkStart w:id="85" w:name="_Toc73517680"/>
      <w:bookmarkStart w:id="86" w:name="_Toc73518158"/>
      <w:bookmarkStart w:id="87" w:name="_Toc73521675"/>
      <w:r>
        <w:rPr>
          <w:rFonts w:hint="eastAsia" w:ascii="宋体" w:eastAsia="宋体"/>
          <w:b/>
          <w:bCs/>
          <w:szCs w:val="21"/>
        </w:rPr>
        <w:t>44．</w:t>
      </w:r>
      <w:bookmarkEnd w:id="83"/>
      <w:bookmarkEnd w:id="84"/>
      <w:bookmarkEnd w:id="85"/>
      <w:bookmarkEnd w:id="86"/>
      <w:bookmarkEnd w:id="87"/>
      <w:r>
        <w:rPr>
          <w:rFonts w:hint="eastAsia" w:ascii="宋体" w:eastAsia="宋体"/>
          <w:b/>
          <w:bCs/>
          <w:szCs w:val="21"/>
        </w:rPr>
        <w:t>接受和拒绝任何或所有投标的权力</w:t>
      </w:r>
    </w:p>
    <w:p w14:paraId="1F617EEA">
      <w:pPr>
        <w:spacing w:line="360" w:lineRule="auto"/>
        <w:ind w:firstLine="411" w:firstLineChars="196"/>
        <w:rPr>
          <w:rFonts w:ascii="宋体" w:eastAsia="宋体"/>
          <w:szCs w:val="21"/>
        </w:rPr>
      </w:pPr>
      <w:r>
        <w:rPr>
          <w:rFonts w:hint="eastAsia" w:ascii="宋体" w:eastAsia="宋体"/>
          <w:szCs w:val="21"/>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4AA7E56C">
      <w:pPr>
        <w:spacing w:line="360" w:lineRule="auto"/>
        <w:rPr>
          <w:rFonts w:ascii="宋体" w:eastAsia="宋体"/>
          <w:b/>
          <w:bCs/>
          <w:szCs w:val="21"/>
        </w:rPr>
      </w:pPr>
      <w:bookmarkStart w:id="88" w:name="_Toc73518160"/>
      <w:bookmarkStart w:id="89" w:name="_Toc73521677"/>
      <w:bookmarkStart w:id="90" w:name="_Toc73521589"/>
      <w:bookmarkStart w:id="91" w:name="_Toc73517682"/>
      <w:bookmarkStart w:id="92" w:name="_Toc100052410"/>
      <w:r>
        <w:rPr>
          <w:rFonts w:hint="eastAsia" w:ascii="宋体" w:eastAsia="宋体"/>
          <w:b/>
          <w:bCs/>
          <w:szCs w:val="21"/>
        </w:rPr>
        <w:t>45．合同的签订</w:t>
      </w:r>
      <w:bookmarkEnd w:id="88"/>
      <w:bookmarkEnd w:id="89"/>
      <w:bookmarkEnd w:id="90"/>
      <w:bookmarkEnd w:id="91"/>
      <w:bookmarkEnd w:id="92"/>
    </w:p>
    <w:p w14:paraId="739C7CDB">
      <w:pPr>
        <w:spacing w:line="360" w:lineRule="auto"/>
        <w:ind w:firstLine="411" w:firstLineChars="196"/>
        <w:rPr>
          <w:rFonts w:ascii="宋体" w:eastAsia="宋体"/>
          <w:szCs w:val="21"/>
        </w:rPr>
      </w:pPr>
      <w:r>
        <w:rPr>
          <w:rFonts w:hint="eastAsia" w:ascii="宋体" w:eastAsia="宋体"/>
          <w:szCs w:val="21"/>
        </w:rPr>
        <w:t>45.1中标人将于中标通知书发出之日起十个工作日内，按照采购文件（招标文件和投标文件等）内容与采购人签订政府采购合同；合同的实质性内容应当符合招标文件的规定；</w:t>
      </w:r>
    </w:p>
    <w:p w14:paraId="3E464F0A">
      <w:pPr>
        <w:spacing w:line="360" w:lineRule="auto"/>
        <w:ind w:firstLine="411" w:firstLineChars="196"/>
        <w:rPr>
          <w:rFonts w:ascii="宋体" w:eastAsia="宋体"/>
          <w:szCs w:val="21"/>
        </w:rPr>
      </w:pPr>
      <w:r>
        <w:rPr>
          <w:rFonts w:hint="eastAsia" w:ascii="宋体" w:eastAsia="宋体"/>
          <w:szCs w:val="21"/>
        </w:rPr>
        <w:t>45.2中标人如不按本通用条款第45</w:t>
      </w:r>
      <w:r>
        <w:rPr>
          <w:rFonts w:ascii="宋体" w:eastAsia="宋体"/>
          <w:szCs w:val="21"/>
        </w:rPr>
        <w:t>.1</w:t>
      </w:r>
      <w:r>
        <w:rPr>
          <w:rFonts w:hint="eastAsia" w:ascii="宋体" w:eastAsia="宋体"/>
          <w:szCs w:val="21"/>
        </w:rPr>
        <w:t>款的规定与采购人签订合同，</w:t>
      </w:r>
      <w:r>
        <w:rPr>
          <w:rFonts w:ascii="宋体" w:eastAsia="宋体" w:cs="宋体"/>
          <w:szCs w:val="21"/>
        </w:rPr>
        <w:t>情节严重的，由</w:t>
      </w:r>
      <w:r>
        <w:rPr>
          <w:rFonts w:hint="eastAsia" w:ascii="宋体" w:eastAsia="宋体" w:cs="宋体"/>
          <w:szCs w:val="21"/>
        </w:rPr>
        <w:t>同级财政</w:t>
      </w:r>
      <w:r>
        <w:rPr>
          <w:rFonts w:ascii="宋体" w:eastAsia="宋体" w:cs="宋体"/>
          <w:szCs w:val="21"/>
        </w:rPr>
        <w:t>部门记入供应商诚信档案，予以通报</w:t>
      </w:r>
      <w:r>
        <w:rPr>
          <w:rFonts w:hint="eastAsia" w:ascii="宋体" w:eastAsia="宋体"/>
          <w:szCs w:val="21"/>
        </w:rPr>
        <w:t>；</w:t>
      </w:r>
    </w:p>
    <w:p w14:paraId="72E22D7C">
      <w:pPr>
        <w:spacing w:line="360" w:lineRule="auto"/>
        <w:ind w:firstLine="411" w:firstLineChars="196"/>
        <w:rPr>
          <w:rFonts w:ascii="宋体" w:eastAsia="宋体"/>
          <w:szCs w:val="21"/>
        </w:rPr>
      </w:pPr>
      <w:r>
        <w:rPr>
          <w:rFonts w:hint="eastAsia" w:ascii="宋体" w:eastAsia="宋体"/>
          <w:szCs w:val="21"/>
        </w:rPr>
        <w:t>45.3中标人应当按照合同约定履行义务，完成中标项目，不得将中标项目转让（转包）给他人。</w:t>
      </w:r>
    </w:p>
    <w:p w14:paraId="27F9E194">
      <w:pPr>
        <w:spacing w:line="360" w:lineRule="auto"/>
        <w:rPr>
          <w:rFonts w:ascii="宋体" w:eastAsia="宋体"/>
          <w:b/>
          <w:bCs/>
          <w:szCs w:val="21"/>
        </w:rPr>
      </w:pPr>
      <w:bookmarkStart w:id="93" w:name="_Toc73518161"/>
      <w:bookmarkStart w:id="94" w:name="_Toc100052411"/>
      <w:bookmarkStart w:id="95" w:name="_Toc73521678"/>
      <w:bookmarkStart w:id="96" w:name="_Toc73517683"/>
      <w:bookmarkStart w:id="97" w:name="_Toc73521590"/>
      <w:r>
        <w:rPr>
          <w:rFonts w:hint="eastAsia" w:ascii="宋体" w:eastAsia="宋体"/>
          <w:b/>
          <w:bCs/>
          <w:szCs w:val="21"/>
        </w:rPr>
        <w:t>46．履约担保</w:t>
      </w:r>
      <w:bookmarkEnd w:id="93"/>
      <w:bookmarkEnd w:id="94"/>
      <w:bookmarkEnd w:id="95"/>
      <w:bookmarkEnd w:id="96"/>
      <w:bookmarkEnd w:id="97"/>
    </w:p>
    <w:p w14:paraId="79F3350C">
      <w:pPr>
        <w:spacing w:line="360" w:lineRule="auto"/>
        <w:ind w:firstLine="411" w:firstLineChars="196"/>
        <w:rPr>
          <w:rFonts w:ascii="宋体" w:eastAsia="宋体"/>
          <w:szCs w:val="21"/>
        </w:rPr>
      </w:pPr>
      <w:r>
        <w:rPr>
          <w:rFonts w:hint="eastAsia" w:ascii="宋体" w:eastAsia="宋体"/>
          <w:szCs w:val="21"/>
        </w:rPr>
        <w:t>46.1在签订项目合同的同时，中标人应按“对通用条款的补充内容”中规定的金额向采购人提交履约担保；</w:t>
      </w:r>
    </w:p>
    <w:p w14:paraId="289062EF">
      <w:pPr>
        <w:spacing w:line="360" w:lineRule="auto"/>
        <w:ind w:firstLine="411" w:firstLineChars="196"/>
        <w:rPr>
          <w:rFonts w:ascii="宋体" w:eastAsia="宋体"/>
          <w:szCs w:val="21"/>
        </w:rPr>
      </w:pPr>
      <w:r>
        <w:rPr>
          <w:rFonts w:hint="eastAsia" w:ascii="宋体" w:eastAsia="宋体"/>
          <w:szCs w:val="21"/>
        </w:rPr>
        <w:t>46.2，允许供应商自主选择以支票、汇票、本票、保函等非现金方式提交履约担保；</w:t>
      </w:r>
      <w:r>
        <w:rPr>
          <w:rFonts w:ascii="宋体" w:eastAsia="宋体"/>
          <w:szCs w:val="21"/>
        </w:rPr>
        <w:t>中标</w:t>
      </w:r>
      <w:r>
        <w:rPr>
          <w:rFonts w:hint="eastAsia" w:ascii="宋体" w:eastAsia="宋体"/>
          <w:szCs w:val="21"/>
        </w:rPr>
        <w:t>人</w:t>
      </w:r>
      <w:r>
        <w:rPr>
          <w:rFonts w:ascii="宋体" w:eastAsia="宋体"/>
          <w:szCs w:val="21"/>
        </w:rPr>
        <w:t>提交履约</w:t>
      </w:r>
      <w:r>
        <w:rPr>
          <w:rFonts w:hint="eastAsia" w:ascii="宋体" w:eastAsia="宋体"/>
          <w:szCs w:val="21"/>
        </w:rPr>
        <w:t>担保不是</w:t>
      </w:r>
      <w:r>
        <w:rPr>
          <w:rFonts w:ascii="宋体" w:eastAsia="宋体"/>
          <w:szCs w:val="21"/>
        </w:rPr>
        <w:t>合同签订的</w:t>
      </w:r>
      <w:r>
        <w:rPr>
          <w:rFonts w:hint="eastAsia" w:ascii="宋体" w:eastAsia="宋体"/>
          <w:szCs w:val="21"/>
        </w:rPr>
        <w:t>前提</w:t>
      </w:r>
      <w:r>
        <w:rPr>
          <w:rFonts w:ascii="宋体" w:eastAsia="宋体"/>
          <w:szCs w:val="21"/>
        </w:rPr>
        <w:t>条件，不要求中标</w:t>
      </w:r>
      <w:r>
        <w:rPr>
          <w:rFonts w:hint="eastAsia" w:ascii="宋体" w:eastAsia="宋体"/>
          <w:szCs w:val="21"/>
        </w:rPr>
        <w:t>人</w:t>
      </w:r>
      <w:r>
        <w:rPr>
          <w:rFonts w:ascii="宋体" w:eastAsia="宋体"/>
          <w:szCs w:val="21"/>
        </w:rPr>
        <w:t>提供除法律、法规明确规定外的其他担保</w:t>
      </w:r>
      <w:r>
        <w:rPr>
          <w:rFonts w:hint="eastAsia" w:ascii="宋体" w:eastAsia="宋体"/>
          <w:szCs w:val="21"/>
        </w:rPr>
        <w:t>。</w:t>
      </w:r>
    </w:p>
    <w:p w14:paraId="0FED5255">
      <w:pPr>
        <w:spacing w:line="360" w:lineRule="auto"/>
        <w:rPr>
          <w:rFonts w:ascii="宋体" w:eastAsia="宋体"/>
          <w:b/>
          <w:bCs/>
          <w:szCs w:val="21"/>
        </w:rPr>
      </w:pPr>
      <w:r>
        <w:rPr>
          <w:rFonts w:hint="eastAsia" w:ascii="宋体" w:eastAsia="宋体"/>
          <w:b/>
          <w:bCs/>
          <w:szCs w:val="21"/>
        </w:rPr>
        <w:t>47. 合同备案</w:t>
      </w:r>
    </w:p>
    <w:p w14:paraId="5EA129D0">
      <w:pPr>
        <w:spacing w:line="360" w:lineRule="auto"/>
        <w:ind w:firstLine="411" w:firstLineChars="196"/>
        <w:rPr>
          <w:rFonts w:ascii="宋体" w:eastAsia="宋体"/>
          <w:szCs w:val="21"/>
        </w:rPr>
      </w:pPr>
      <w:r>
        <w:rPr>
          <w:rFonts w:hint="eastAsia" w:ascii="宋体" w:eastAsia="宋体"/>
          <w:szCs w:val="21"/>
        </w:rPr>
        <w:t>采购人与中标人应于合同签订之日起十日内，由采购人或委托中标人将采购合同副本抄送合同备案工作实施机构备案。</w:t>
      </w:r>
    </w:p>
    <w:p w14:paraId="53497241">
      <w:pPr>
        <w:spacing w:line="360" w:lineRule="auto"/>
        <w:rPr>
          <w:rFonts w:ascii="宋体" w:eastAsia="宋体"/>
          <w:b/>
          <w:bCs/>
          <w:szCs w:val="21"/>
        </w:rPr>
      </w:pPr>
      <w:r>
        <w:rPr>
          <w:rFonts w:hint="eastAsia" w:ascii="宋体" w:eastAsia="宋体"/>
          <w:b/>
          <w:bCs/>
          <w:szCs w:val="21"/>
        </w:rPr>
        <w:t>48. 合同变更</w:t>
      </w:r>
    </w:p>
    <w:p w14:paraId="2FAE509D">
      <w:pPr>
        <w:spacing w:line="360" w:lineRule="auto"/>
        <w:ind w:firstLine="411" w:firstLineChars="196"/>
        <w:rPr>
          <w:rFonts w:ascii="宋体" w:eastAsia="宋体"/>
          <w:szCs w:val="21"/>
        </w:rPr>
      </w:pPr>
      <w:r>
        <w:rPr>
          <w:rFonts w:hint="eastAsia" w:ascii="宋体" w:eastAsia="宋体"/>
          <w:szCs w:val="21"/>
        </w:rPr>
        <w:t>合同变更事宜按《深圳市财政局 深圳市政府采购中心关于进一步加强市本级政府采购合同备案管理工作的通知》（深财购〔2019〕43号）相关规定执行。</w:t>
      </w:r>
    </w:p>
    <w:p w14:paraId="5FDECE5E">
      <w:pPr>
        <w:spacing w:line="360" w:lineRule="auto"/>
        <w:rPr>
          <w:rFonts w:ascii="宋体" w:eastAsia="宋体"/>
          <w:b/>
          <w:bCs/>
          <w:szCs w:val="21"/>
        </w:rPr>
      </w:pPr>
      <w:r>
        <w:rPr>
          <w:rFonts w:hint="eastAsia" w:ascii="宋体" w:eastAsia="宋体"/>
          <w:b/>
          <w:bCs/>
          <w:szCs w:val="21"/>
        </w:rPr>
        <w:t>49. 项目验收</w:t>
      </w:r>
    </w:p>
    <w:p w14:paraId="251B24A4">
      <w:pPr>
        <w:spacing w:line="360" w:lineRule="auto"/>
        <w:ind w:right="176" w:firstLine="420"/>
        <w:rPr>
          <w:rFonts w:ascii="宋体" w:eastAsia="宋体"/>
          <w:szCs w:val="21"/>
        </w:rPr>
      </w:pPr>
      <w:r>
        <w:rPr>
          <w:rFonts w:hint="eastAsia" w:ascii="宋体" w:eastAsia="宋体"/>
          <w:szCs w:val="21"/>
        </w:rPr>
        <w:t>49.1采购人应当按照招标文件和合同规定的标准和方法，及时组织验收。</w:t>
      </w:r>
    </w:p>
    <w:p w14:paraId="004E01A1">
      <w:pPr>
        <w:spacing w:line="360" w:lineRule="auto"/>
        <w:rPr>
          <w:rFonts w:ascii="宋体" w:eastAsia="宋体"/>
          <w:b/>
          <w:bCs/>
          <w:szCs w:val="21"/>
        </w:rPr>
      </w:pPr>
      <w:r>
        <w:rPr>
          <w:rFonts w:hint="eastAsia" w:ascii="宋体" w:eastAsia="宋体"/>
          <w:b/>
          <w:bCs/>
          <w:szCs w:val="21"/>
        </w:rPr>
        <w:t>50. 宣传</w:t>
      </w:r>
    </w:p>
    <w:p w14:paraId="642FA9D2">
      <w:pPr>
        <w:spacing w:line="360" w:lineRule="auto"/>
        <w:ind w:left="210" w:leftChars="100" w:firstLine="411" w:firstLineChars="196"/>
        <w:rPr>
          <w:rFonts w:ascii="宋体" w:eastAsia="宋体"/>
          <w:szCs w:val="21"/>
        </w:rPr>
      </w:pPr>
      <w:r>
        <w:rPr>
          <w:rFonts w:hint="eastAsia" w:ascii="宋体" w:eastAsia="宋体"/>
          <w:szCs w:val="21"/>
        </w:rPr>
        <w:t>凡与政府采购活动有关的宣传或广告，若当中提及政府采购，</w:t>
      </w:r>
      <w:r>
        <w:rPr>
          <w:rFonts w:ascii="宋体" w:eastAsia="宋体"/>
          <w:szCs w:val="21"/>
        </w:rPr>
        <w:t>必须事先将具体对外宣传方案报</w:t>
      </w:r>
      <w:r>
        <w:rPr>
          <w:rFonts w:hint="eastAsia" w:ascii="宋体" w:eastAsia="宋体"/>
          <w:szCs w:val="21"/>
        </w:rPr>
        <w:t>同级财政部门</w:t>
      </w:r>
      <w:r>
        <w:rPr>
          <w:rFonts w:ascii="宋体" w:eastAsia="宋体"/>
          <w:szCs w:val="21"/>
        </w:rPr>
        <w:t>和</w:t>
      </w:r>
      <w:r>
        <w:rPr>
          <w:rFonts w:hint="eastAsia" w:ascii="宋体" w:eastAsia="宋体"/>
          <w:szCs w:val="21"/>
        </w:rPr>
        <w:t>采购代理机构</w:t>
      </w:r>
      <w:r>
        <w:rPr>
          <w:rFonts w:ascii="宋体" w:eastAsia="宋体"/>
          <w:szCs w:val="21"/>
        </w:rPr>
        <w:t>，并征得其同意。对外市场宣传包括但不限于以下形式：</w:t>
      </w:r>
    </w:p>
    <w:p w14:paraId="335D2697">
      <w:pPr>
        <w:spacing w:line="360" w:lineRule="auto"/>
        <w:ind w:left="210" w:leftChars="100" w:firstLine="411" w:firstLineChars="196"/>
        <w:rPr>
          <w:rFonts w:ascii="宋体" w:eastAsia="宋体"/>
          <w:szCs w:val="21"/>
        </w:rPr>
      </w:pPr>
      <w:r>
        <w:rPr>
          <w:rFonts w:ascii="宋体" w:eastAsia="宋体"/>
          <w:szCs w:val="21"/>
        </w:rPr>
        <w:t>a.名片、宣传册、广告标语等；</w:t>
      </w:r>
    </w:p>
    <w:p w14:paraId="752AB3DB">
      <w:pPr>
        <w:spacing w:line="360" w:lineRule="auto"/>
        <w:ind w:left="210" w:leftChars="100" w:firstLine="411" w:firstLineChars="196"/>
        <w:rPr>
          <w:rFonts w:ascii="宋体" w:eastAsia="宋体"/>
          <w:szCs w:val="21"/>
        </w:rPr>
      </w:pPr>
      <w:r>
        <w:rPr>
          <w:rFonts w:ascii="宋体" w:eastAsia="宋体"/>
          <w:szCs w:val="21"/>
        </w:rPr>
        <w:t>b.案例介绍、推广等；</w:t>
      </w:r>
    </w:p>
    <w:p w14:paraId="70CA03A1">
      <w:pPr>
        <w:spacing w:line="360" w:lineRule="auto"/>
        <w:ind w:left="210" w:leftChars="100" w:firstLine="411" w:firstLineChars="196"/>
        <w:rPr>
          <w:rFonts w:ascii="宋体" w:eastAsia="宋体"/>
          <w:szCs w:val="21"/>
        </w:rPr>
      </w:pPr>
      <w:r>
        <w:rPr>
          <w:rFonts w:hint="eastAsia" w:ascii="宋体" w:eastAsia="宋体"/>
          <w:szCs w:val="21"/>
        </w:rPr>
        <w:t>c.工作</w:t>
      </w:r>
      <w:r>
        <w:rPr>
          <w:rFonts w:ascii="宋体" w:eastAsia="宋体"/>
          <w:szCs w:val="21"/>
        </w:rPr>
        <w:t>人员向其他消费群体宣传。</w:t>
      </w:r>
    </w:p>
    <w:p w14:paraId="02FB593B">
      <w:pPr>
        <w:spacing w:line="360" w:lineRule="auto"/>
        <w:rPr>
          <w:rFonts w:ascii="宋体" w:eastAsia="宋体"/>
          <w:b/>
          <w:bCs/>
          <w:szCs w:val="21"/>
        </w:rPr>
      </w:pPr>
      <w:r>
        <w:rPr>
          <w:rFonts w:hint="eastAsia" w:ascii="宋体" w:eastAsia="宋体"/>
          <w:b/>
          <w:bCs/>
          <w:szCs w:val="21"/>
        </w:rPr>
        <w:t>51. 供应商违法责任</w:t>
      </w:r>
    </w:p>
    <w:p w14:paraId="41D236DD">
      <w:pPr>
        <w:spacing w:line="360" w:lineRule="auto"/>
        <w:ind w:firstLine="411" w:firstLineChars="196"/>
        <w:rPr>
          <w:rFonts w:ascii="宋体" w:eastAsia="宋体"/>
          <w:szCs w:val="21"/>
        </w:rPr>
      </w:pPr>
      <w:r>
        <w:rPr>
          <w:rFonts w:hint="eastAsia" w:ascii="宋体" w:eastAsia="宋体"/>
          <w:szCs w:val="21"/>
        </w:rPr>
        <w:t>5</w:t>
      </w:r>
      <w:r>
        <w:rPr>
          <w:rFonts w:ascii="宋体" w:eastAsia="宋体"/>
          <w:szCs w:val="21"/>
        </w:rPr>
        <w:t>1.1</w:t>
      </w:r>
      <w:r>
        <w:rPr>
          <w:rFonts w:hint="eastAsia" w:ascii="宋体" w:eastAsia="宋体"/>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649A0B74">
      <w:pPr>
        <w:spacing w:line="360" w:lineRule="auto"/>
        <w:ind w:firstLine="411" w:firstLineChars="196"/>
        <w:rPr>
          <w:rFonts w:ascii="宋体" w:eastAsia="宋体"/>
          <w:szCs w:val="21"/>
        </w:rPr>
      </w:pPr>
      <w:r>
        <w:rPr>
          <w:rFonts w:hint="eastAsia" w:ascii="宋体" w:eastAsia="宋体"/>
          <w:szCs w:val="21"/>
        </w:rPr>
        <w:t>（1）在采购活动中应当回避而未回避的；</w:t>
      </w:r>
    </w:p>
    <w:p w14:paraId="04DC7540">
      <w:pPr>
        <w:spacing w:line="360" w:lineRule="auto"/>
        <w:ind w:firstLine="411" w:firstLineChars="196"/>
        <w:rPr>
          <w:rFonts w:ascii="宋体" w:eastAsia="宋体"/>
          <w:szCs w:val="21"/>
        </w:rPr>
      </w:pPr>
      <w:r>
        <w:rPr>
          <w:rFonts w:hint="eastAsia" w:ascii="宋体" w:eastAsia="宋体"/>
          <w:szCs w:val="21"/>
        </w:rPr>
        <w:t>（2）未按本条例规定签订、履行采购合同，造成严重后果的；</w:t>
      </w:r>
    </w:p>
    <w:p w14:paraId="65F276E4">
      <w:pPr>
        <w:spacing w:line="360" w:lineRule="auto"/>
        <w:ind w:firstLine="411" w:firstLineChars="196"/>
        <w:rPr>
          <w:rFonts w:ascii="宋体" w:eastAsia="宋体"/>
          <w:szCs w:val="21"/>
        </w:rPr>
      </w:pPr>
      <w:r>
        <w:rPr>
          <w:rFonts w:hint="eastAsia" w:ascii="宋体" w:eastAsia="宋体"/>
          <w:szCs w:val="21"/>
        </w:rPr>
        <w:t>（3）隐瞒真实情况，提供虚假资料的；</w:t>
      </w:r>
    </w:p>
    <w:p w14:paraId="69412DC6">
      <w:pPr>
        <w:spacing w:line="360" w:lineRule="auto"/>
        <w:ind w:firstLine="411" w:firstLineChars="196"/>
        <w:rPr>
          <w:rFonts w:ascii="宋体" w:eastAsia="宋体"/>
          <w:szCs w:val="21"/>
        </w:rPr>
      </w:pPr>
      <w:r>
        <w:rPr>
          <w:rFonts w:hint="eastAsia" w:ascii="宋体" w:eastAsia="宋体"/>
          <w:szCs w:val="21"/>
        </w:rPr>
        <w:t>（4）以非法手段排斥其他供应商参与竞争的；</w:t>
      </w:r>
    </w:p>
    <w:p w14:paraId="5128E10E">
      <w:pPr>
        <w:spacing w:line="360" w:lineRule="auto"/>
        <w:ind w:firstLine="411" w:firstLineChars="196"/>
        <w:rPr>
          <w:rFonts w:ascii="宋体" w:eastAsia="宋体"/>
          <w:szCs w:val="21"/>
        </w:rPr>
      </w:pPr>
      <w:r>
        <w:rPr>
          <w:rFonts w:hint="eastAsia" w:ascii="宋体" w:eastAsia="宋体"/>
          <w:szCs w:val="21"/>
        </w:rPr>
        <w:t>（5）与其他采购参加人串通投标的；</w:t>
      </w:r>
    </w:p>
    <w:p w14:paraId="0EAF534C">
      <w:pPr>
        <w:spacing w:line="360" w:lineRule="auto"/>
        <w:ind w:firstLine="411" w:firstLineChars="196"/>
        <w:rPr>
          <w:rFonts w:ascii="宋体" w:eastAsia="宋体"/>
          <w:szCs w:val="21"/>
        </w:rPr>
      </w:pPr>
      <w:r>
        <w:rPr>
          <w:rFonts w:hint="eastAsia" w:ascii="宋体" w:eastAsia="宋体"/>
          <w:szCs w:val="21"/>
        </w:rPr>
        <w:t>（6）恶意投诉的；</w:t>
      </w:r>
    </w:p>
    <w:p w14:paraId="7D1BCEEC">
      <w:pPr>
        <w:spacing w:line="360" w:lineRule="auto"/>
        <w:ind w:firstLine="411" w:firstLineChars="196"/>
        <w:rPr>
          <w:rFonts w:ascii="宋体" w:eastAsia="宋体"/>
          <w:szCs w:val="21"/>
        </w:rPr>
      </w:pPr>
      <w:r>
        <w:rPr>
          <w:rFonts w:hint="eastAsia" w:ascii="宋体" w:eastAsia="宋体"/>
          <w:szCs w:val="21"/>
        </w:rPr>
        <w:t>（7）向采购项目相关人行贿或者提供其他不当利益的；</w:t>
      </w:r>
    </w:p>
    <w:p w14:paraId="5A349DA1">
      <w:pPr>
        <w:spacing w:line="360" w:lineRule="auto"/>
        <w:ind w:firstLine="411" w:firstLineChars="196"/>
        <w:rPr>
          <w:rFonts w:ascii="宋体" w:eastAsia="宋体"/>
          <w:szCs w:val="21"/>
        </w:rPr>
      </w:pPr>
      <w:r>
        <w:rPr>
          <w:rFonts w:hint="eastAsia" w:ascii="宋体" w:eastAsia="宋体"/>
          <w:szCs w:val="21"/>
        </w:rPr>
        <w:t>（8）阻碍、抗拒主管部门监督检查的；</w:t>
      </w:r>
    </w:p>
    <w:p w14:paraId="08D5A053">
      <w:pPr>
        <w:spacing w:line="360" w:lineRule="auto"/>
        <w:ind w:firstLine="411" w:firstLineChars="196"/>
        <w:rPr>
          <w:rFonts w:ascii="宋体" w:eastAsia="宋体"/>
          <w:szCs w:val="21"/>
        </w:rPr>
      </w:pPr>
      <w:r>
        <w:rPr>
          <w:rFonts w:hint="eastAsia" w:ascii="宋体" w:eastAsia="宋体"/>
          <w:szCs w:val="21"/>
        </w:rPr>
        <w:t>（9）其他违反本条例规定的行为。</w:t>
      </w:r>
    </w:p>
    <w:p w14:paraId="78B408C9">
      <w:pPr>
        <w:spacing w:line="360" w:lineRule="auto"/>
        <w:ind w:firstLine="411" w:firstLineChars="196"/>
        <w:rPr>
          <w:rFonts w:ascii="宋体" w:eastAsia="宋体"/>
          <w:szCs w:val="21"/>
        </w:rPr>
      </w:pPr>
      <w:r>
        <w:rPr>
          <w:rFonts w:hint="eastAsia" w:ascii="宋体" w:eastAsia="宋体"/>
          <w:szCs w:val="21"/>
        </w:rPr>
        <w:t>5</w:t>
      </w:r>
      <w:r>
        <w:rPr>
          <w:rFonts w:ascii="宋体" w:eastAsia="宋体"/>
          <w:szCs w:val="21"/>
        </w:rPr>
        <w:t xml:space="preserve">1.2 </w:t>
      </w:r>
      <w:r>
        <w:rPr>
          <w:rFonts w:hint="eastAsia" w:ascii="宋体" w:eastAsia="宋体"/>
          <w:szCs w:val="21"/>
        </w:rPr>
        <w:t>根据《深圳市财政局关于明确政府采购保证金管理工作的通知》（深财购[2019]42号）的要求，供应商在政府采购活动中出现《深圳经济特区政府采购条例实施细则》第八十四条所列情形的，</w:t>
      </w:r>
      <w:bookmarkStart w:id="98" w:name="_Hlk72440769"/>
      <w:r>
        <w:rPr>
          <w:rFonts w:hint="eastAsia" w:ascii="宋体" w:eastAsia="宋体"/>
          <w:szCs w:val="21"/>
        </w:rPr>
        <w:t>采购人或采购代理机构</w:t>
      </w:r>
      <w:bookmarkEnd w:id="98"/>
      <w:r>
        <w:rPr>
          <w:rFonts w:hint="eastAsia" w:ascii="宋体" w:eastAsia="宋体"/>
          <w:szCs w:val="21"/>
        </w:rPr>
        <w:t>可将有关情况报同级财政部门，由财政部门根据实际情况记入供应商诚信档案，予以通报：</w:t>
      </w:r>
    </w:p>
    <w:p w14:paraId="08B40566">
      <w:pPr>
        <w:spacing w:line="360" w:lineRule="auto"/>
        <w:ind w:firstLine="411" w:firstLineChars="196"/>
        <w:rPr>
          <w:rFonts w:ascii="宋体" w:eastAsia="宋体"/>
          <w:szCs w:val="21"/>
        </w:rPr>
      </w:pPr>
      <w:r>
        <w:rPr>
          <w:rFonts w:hint="eastAsia" w:ascii="宋体" w:eastAsia="宋体"/>
          <w:szCs w:val="21"/>
        </w:rPr>
        <w:t>（1</w:t>
      </w:r>
      <w:r>
        <w:rPr>
          <w:rFonts w:ascii="宋体" w:eastAsia="宋体"/>
          <w:szCs w:val="21"/>
        </w:rPr>
        <w:t>）投标截止后，撤销投标的；</w:t>
      </w:r>
    </w:p>
    <w:p w14:paraId="1D305583">
      <w:pPr>
        <w:spacing w:line="360" w:lineRule="auto"/>
        <w:ind w:firstLine="411" w:firstLineChars="196"/>
        <w:rPr>
          <w:rFonts w:ascii="宋体" w:eastAsia="宋体"/>
          <w:szCs w:val="21"/>
        </w:rPr>
      </w:pPr>
      <w:r>
        <w:rPr>
          <w:rFonts w:ascii="宋体" w:eastAsia="宋体"/>
          <w:szCs w:val="21"/>
        </w:rPr>
        <w:t>（</w:t>
      </w:r>
      <w:r>
        <w:rPr>
          <w:rFonts w:hint="eastAsia" w:ascii="宋体" w:eastAsia="宋体"/>
          <w:szCs w:val="21"/>
        </w:rPr>
        <w:t>2</w:t>
      </w:r>
      <w:r>
        <w:rPr>
          <w:rFonts w:ascii="宋体" w:eastAsia="宋体"/>
          <w:szCs w:val="21"/>
        </w:rPr>
        <w:t>）中标后无正当理由未在规定期限内签订合同的；</w:t>
      </w:r>
    </w:p>
    <w:p w14:paraId="2EEC057B">
      <w:pPr>
        <w:spacing w:line="360" w:lineRule="auto"/>
        <w:ind w:firstLine="411" w:firstLineChars="196"/>
        <w:rPr>
          <w:rFonts w:ascii="宋体" w:eastAsia="宋体"/>
          <w:szCs w:val="21"/>
        </w:rPr>
      </w:pPr>
      <w:r>
        <w:rPr>
          <w:rFonts w:ascii="宋体" w:eastAsia="宋体"/>
          <w:szCs w:val="21"/>
        </w:rPr>
        <w:t>（</w:t>
      </w:r>
      <w:r>
        <w:rPr>
          <w:rFonts w:hint="eastAsia" w:ascii="宋体" w:eastAsia="宋体"/>
          <w:szCs w:val="21"/>
        </w:rPr>
        <w:t>3</w:t>
      </w:r>
      <w:r>
        <w:rPr>
          <w:rFonts w:ascii="宋体" w:eastAsia="宋体"/>
          <w:szCs w:val="21"/>
        </w:rPr>
        <w:t>）将中标项目转让给他人、或者在投标文件中未说明且未经采购人、采购招标机构同意，将中标项目分包给他人的；</w:t>
      </w:r>
    </w:p>
    <w:p w14:paraId="430C72A1">
      <w:pPr>
        <w:spacing w:line="360" w:lineRule="auto"/>
        <w:ind w:firstLine="411" w:firstLineChars="196"/>
        <w:rPr>
          <w:rFonts w:ascii="宋体" w:eastAsia="宋体"/>
          <w:szCs w:val="21"/>
        </w:rPr>
      </w:pPr>
      <w:r>
        <w:rPr>
          <w:rFonts w:ascii="宋体" w:eastAsia="宋体"/>
          <w:szCs w:val="21"/>
        </w:rPr>
        <w:t>（</w:t>
      </w:r>
      <w:r>
        <w:rPr>
          <w:rFonts w:hint="eastAsia" w:ascii="宋体" w:eastAsia="宋体"/>
          <w:szCs w:val="21"/>
        </w:rPr>
        <w:t>4</w:t>
      </w:r>
      <w:r>
        <w:rPr>
          <w:rFonts w:ascii="宋体" w:eastAsia="宋体"/>
          <w:szCs w:val="21"/>
        </w:rPr>
        <w:t>）拒绝履行合同义务的</w:t>
      </w:r>
      <w:r>
        <w:rPr>
          <w:rFonts w:hint="eastAsia" w:ascii="宋体" w:eastAsia="宋体"/>
          <w:szCs w:val="21"/>
        </w:rPr>
        <w:t>。</w:t>
      </w:r>
    </w:p>
    <w:bookmarkEnd w:id="82"/>
    <w:p w14:paraId="579269EA">
      <w:pPr>
        <w:pStyle w:val="5"/>
        <w:widowControl/>
        <w:numPr>
          <w:ilvl w:val="0"/>
          <w:numId w:val="14"/>
        </w:numPr>
        <w:spacing w:before="120" w:beforeLines="50" w:after="120" w:afterLines="50" w:line="360" w:lineRule="auto"/>
        <w:ind w:left="562" w:hanging="562"/>
        <w:rPr>
          <w:rFonts w:ascii="宋体" w:eastAsia="宋体"/>
          <w:sz w:val="28"/>
          <w:szCs w:val="28"/>
        </w:rPr>
      </w:pPr>
      <w:r>
        <w:rPr>
          <w:rFonts w:hint="eastAsia" w:ascii="宋体" w:eastAsia="宋体"/>
          <w:sz w:val="28"/>
          <w:szCs w:val="28"/>
        </w:rPr>
        <w:t>质疑处理</w:t>
      </w:r>
    </w:p>
    <w:p w14:paraId="6426ADFE">
      <w:pPr>
        <w:spacing w:line="360" w:lineRule="auto"/>
        <w:rPr>
          <w:rFonts w:ascii="宋体" w:eastAsia="宋体"/>
          <w:b/>
          <w:bCs/>
          <w:szCs w:val="21"/>
        </w:rPr>
      </w:pPr>
      <w:bookmarkStart w:id="99" w:name="_Hlk72439706"/>
      <w:r>
        <w:rPr>
          <w:rFonts w:hint="eastAsia" w:ascii="宋体" w:eastAsia="宋体"/>
          <w:b/>
          <w:bCs/>
          <w:szCs w:val="21"/>
        </w:rPr>
        <w:t>52.质疑提出与答复</w:t>
      </w:r>
    </w:p>
    <w:p w14:paraId="6571890E">
      <w:pPr>
        <w:spacing w:line="360" w:lineRule="auto"/>
        <w:rPr>
          <w:rFonts w:ascii="宋体" w:eastAsia="宋体"/>
          <w:szCs w:val="21"/>
        </w:rPr>
      </w:pPr>
      <w:r>
        <w:rPr>
          <w:rFonts w:hint="eastAsia" w:ascii="宋体" w:eastAsia="宋体"/>
          <w:szCs w:val="21"/>
        </w:rPr>
        <w:t xml:space="preserve">    52.1提出质疑</w:t>
      </w:r>
    </w:p>
    <w:p w14:paraId="346BF5D4">
      <w:pPr>
        <w:spacing w:line="360" w:lineRule="auto"/>
        <w:rPr>
          <w:rFonts w:ascii="宋体" w:eastAsia="宋体"/>
          <w:szCs w:val="21"/>
        </w:rPr>
      </w:pPr>
      <w:r>
        <w:rPr>
          <w:rFonts w:hint="eastAsia" w:ascii="宋体" w:eastAsia="宋体"/>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4E8D4FED">
      <w:pPr>
        <w:spacing w:line="360" w:lineRule="auto"/>
        <w:rPr>
          <w:rFonts w:ascii="宋体" w:eastAsia="宋体"/>
          <w:szCs w:val="21"/>
        </w:rPr>
      </w:pPr>
      <w:r>
        <w:rPr>
          <w:rFonts w:hint="eastAsia" w:ascii="宋体" w:eastAsia="宋体"/>
          <w:szCs w:val="21"/>
        </w:rPr>
        <w:t xml:space="preserve">    52.2</w:t>
      </w:r>
      <w:r>
        <w:rPr>
          <w:rFonts w:ascii="宋体" w:eastAsia="宋体"/>
          <w:szCs w:val="21"/>
        </w:rPr>
        <w:t>法律依据</w:t>
      </w:r>
    </w:p>
    <w:p w14:paraId="730A043F">
      <w:pPr>
        <w:spacing w:line="360" w:lineRule="auto"/>
        <w:rPr>
          <w:rFonts w:ascii="宋体" w:eastAsia="宋体"/>
          <w:szCs w:val="21"/>
        </w:rPr>
      </w:pPr>
      <w:r>
        <w:rPr>
          <w:rFonts w:hint="eastAsia" w:ascii="宋体" w:eastAsia="宋体"/>
          <w:szCs w:val="21"/>
        </w:rPr>
        <w:t xml:space="preserve">    《中华人民共和国政府采购法》、《中华人民共和国政府采购法实施条例》、</w:t>
      </w:r>
      <w:r>
        <w:rPr>
          <w:rFonts w:ascii="宋体" w:eastAsia="宋体"/>
          <w:szCs w:val="21"/>
        </w:rPr>
        <w:t>《</w:t>
      </w:r>
      <w:r>
        <w:rPr>
          <w:rFonts w:hint="eastAsia" w:ascii="宋体" w:eastAsia="宋体"/>
          <w:szCs w:val="21"/>
        </w:rPr>
        <w:t>深圳经济特区政府采购</w:t>
      </w:r>
      <w:r>
        <w:rPr>
          <w:rFonts w:ascii="宋体" w:eastAsia="宋体"/>
          <w:szCs w:val="21"/>
        </w:rPr>
        <w:t>条例</w:t>
      </w:r>
      <w:r>
        <w:rPr>
          <w:rFonts w:hint="eastAsia" w:ascii="宋体" w:eastAsia="宋体"/>
          <w:szCs w:val="21"/>
        </w:rPr>
        <w:t>》、《深圳经济特区政府采购条例实施细则》、《政府采购质疑和投诉办法》（财政部令第94号）和其他有关法律法规规定。</w:t>
      </w:r>
    </w:p>
    <w:p w14:paraId="26B990FB">
      <w:pPr>
        <w:spacing w:line="360" w:lineRule="auto"/>
        <w:rPr>
          <w:rFonts w:ascii="宋体" w:eastAsia="宋体"/>
          <w:szCs w:val="21"/>
        </w:rPr>
      </w:pPr>
      <w:r>
        <w:rPr>
          <w:rFonts w:hint="eastAsia" w:ascii="宋体" w:eastAsia="宋体"/>
          <w:szCs w:val="21"/>
        </w:rPr>
        <w:t>52.3质疑条件</w:t>
      </w:r>
    </w:p>
    <w:p w14:paraId="6681C255">
      <w:pPr>
        <w:spacing w:line="360" w:lineRule="auto"/>
        <w:rPr>
          <w:rFonts w:ascii="宋体" w:eastAsia="宋体"/>
          <w:szCs w:val="21"/>
        </w:rPr>
      </w:pPr>
      <w:r>
        <w:rPr>
          <w:rFonts w:hint="eastAsia" w:ascii="宋体" w:eastAsia="宋体"/>
          <w:szCs w:val="21"/>
        </w:rPr>
        <w:t xml:space="preserve">    52.3.1提出质疑的供应商应当是参与所质疑项目采购活动的供应商；</w:t>
      </w:r>
      <w:bookmarkStart w:id="100" w:name="_Hlk75374941"/>
      <w:r>
        <w:rPr>
          <w:rFonts w:hint="eastAsia" w:ascii="宋体" w:eastAsia="宋体"/>
          <w:szCs w:val="21"/>
        </w:rPr>
        <w:t>以联合体形式参与的，质疑应当由组成联合体的所有成员共同提出</w:t>
      </w:r>
      <w:bookmarkEnd w:id="100"/>
      <w:r>
        <w:rPr>
          <w:rFonts w:hint="eastAsia" w:ascii="宋体" w:eastAsia="宋体"/>
          <w:szCs w:val="21"/>
        </w:rPr>
        <w:t>；</w:t>
      </w:r>
    </w:p>
    <w:p w14:paraId="69C08DC9">
      <w:pPr>
        <w:spacing w:line="360" w:lineRule="auto"/>
        <w:rPr>
          <w:rFonts w:ascii="宋体" w:eastAsia="宋体"/>
          <w:szCs w:val="21"/>
        </w:rPr>
      </w:pPr>
      <w:r>
        <w:rPr>
          <w:rFonts w:hint="eastAsia" w:ascii="宋体" w:eastAsia="宋体"/>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327A3E4E">
      <w:pPr>
        <w:spacing w:line="360" w:lineRule="auto"/>
        <w:ind w:firstLine="420"/>
        <w:rPr>
          <w:rFonts w:ascii="宋体" w:eastAsia="宋体"/>
          <w:szCs w:val="21"/>
        </w:rPr>
      </w:pPr>
      <w:r>
        <w:rPr>
          <w:rFonts w:hint="eastAsia" w:ascii="宋体" w:eastAsia="宋体"/>
          <w:szCs w:val="21"/>
        </w:rPr>
        <w:t>52.3.3应提交书面质疑函，质疑函应当包括以下内容：</w:t>
      </w:r>
    </w:p>
    <w:p w14:paraId="589CC92F">
      <w:pPr>
        <w:spacing w:line="360" w:lineRule="auto"/>
        <w:ind w:firstLine="420"/>
        <w:rPr>
          <w:rFonts w:ascii="宋体" w:eastAsia="宋体"/>
          <w:szCs w:val="21"/>
        </w:rPr>
      </w:pPr>
      <w:r>
        <w:rPr>
          <w:rFonts w:hint="eastAsia" w:ascii="宋体" w:eastAsia="宋体"/>
          <w:szCs w:val="21"/>
        </w:rPr>
        <w:t>（1）供应商的名称（或者姓名）、地址、邮编、邮箱、联系人及联系电话；</w:t>
      </w:r>
    </w:p>
    <w:p w14:paraId="3E0B71FE">
      <w:pPr>
        <w:spacing w:line="360" w:lineRule="auto"/>
        <w:ind w:firstLine="420" w:firstLineChars="200"/>
        <w:rPr>
          <w:rFonts w:ascii="宋体" w:eastAsia="宋体"/>
          <w:szCs w:val="21"/>
        </w:rPr>
      </w:pPr>
      <w:r>
        <w:rPr>
          <w:rFonts w:hint="eastAsia" w:ascii="宋体" w:eastAsia="宋体"/>
          <w:szCs w:val="21"/>
        </w:rPr>
        <w:t>（2）质疑项目的名称、编号；</w:t>
      </w:r>
    </w:p>
    <w:p w14:paraId="15B80111">
      <w:pPr>
        <w:spacing w:line="360" w:lineRule="auto"/>
        <w:ind w:firstLine="420" w:firstLineChars="200"/>
        <w:rPr>
          <w:rFonts w:ascii="宋体" w:eastAsia="宋体"/>
          <w:szCs w:val="21"/>
        </w:rPr>
      </w:pPr>
      <w:r>
        <w:rPr>
          <w:rFonts w:hint="eastAsia" w:ascii="宋体" w:eastAsia="宋体"/>
          <w:szCs w:val="21"/>
        </w:rPr>
        <w:t>（3）具体、明确的质疑对象、质疑事项和质疑请求；</w:t>
      </w:r>
    </w:p>
    <w:p w14:paraId="03BA801C">
      <w:pPr>
        <w:spacing w:line="360" w:lineRule="auto"/>
        <w:ind w:firstLine="420" w:firstLineChars="200"/>
        <w:rPr>
          <w:rFonts w:ascii="宋体" w:eastAsia="宋体"/>
          <w:szCs w:val="21"/>
        </w:rPr>
      </w:pPr>
      <w:r>
        <w:rPr>
          <w:rFonts w:hint="eastAsia" w:ascii="宋体" w:eastAsia="宋体"/>
          <w:szCs w:val="21"/>
        </w:rPr>
        <w:t>（4）因质疑事项而受损害的权益；</w:t>
      </w:r>
    </w:p>
    <w:p w14:paraId="77C8AFED">
      <w:pPr>
        <w:spacing w:line="360" w:lineRule="auto"/>
        <w:ind w:firstLine="420" w:firstLineChars="200"/>
        <w:rPr>
          <w:rFonts w:ascii="宋体" w:eastAsia="宋体"/>
          <w:szCs w:val="21"/>
        </w:rPr>
      </w:pPr>
      <w:r>
        <w:rPr>
          <w:rFonts w:hint="eastAsia" w:ascii="宋体" w:eastAsia="宋体"/>
          <w:szCs w:val="21"/>
        </w:rPr>
        <w:t>（5）事实依据；</w:t>
      </w:r>
    </w:p>
    <w:p w14:paraId="7D20D702">
      <w:pPr>
        <w:spacing w:line="360" w:lineRule="auto"/>
        <w:ind w:firstLine="420" w:firstLineChars="200"/>
        <w:rPr>
          <w:rFonts w:ascii="宋体" w:eastAsia="宋体"/>
          <w:szCs w:val="21"/>
        </w:rPr>
      </w:pPr>
      <w:r>
        <w:rPr>
          <w:rFonts w:hint="eastAsia" w:ascii="宋体" w:eastAsia="宋体"/>
          <w:szCs w:val="21"/>
        </w:rPr>
        <w:t>（6）必要的法律依据；</w:t>
      </w:r>
    </w:p>
    <w:p w14:paraId="503BC3B5">
      <w:pPr>
        <w:spacing w:line="360" w:lineRule="auto"/>
        <w:ind w:firstLine="420" w:firstLineChars="200"/>
        <w:rPr>
          <w:rFonts w:ascii="宋体" w:eastAsia="宋体"/>
          <w:szCs w:val="21"/>
        </w:rPr>
      </w:pPr>
      <w:r>
        <w:rPr>
          <w:rFonts w:hint="eastAsia" w:ascii="宋体" w:eastAsia="宋体"/>
          <w:szCs w:val="21"/>
        </w:rPr>
        <w:t>（7）提出质疑的日期。</w:t>
      </w:r>
    </w:p>
    <w:p w14:paraId="5729D109">
      <w:pPr>
        <w:spacing w:line="360" w:lineRule="auto"/>
        <w:ind w:firstLine="420" w:firstLineChars="200"/>
        <w:rPr>
          <w:rFonts w:ascii="宋体" w:eastAsia="宋体"/>
          <w:szCs w:val="21"/>
        </w:rPr>
      </w:pPr>
      <w:r>
        <w:rPr>
          <w:rFonts w:hint="eastAsia" w:ascii="宋体" w:eastAsia="宋体"/>
          <w:szCs w:val="21"/>
        </w:rPr>
        <w:t>供应商为自然人的，应当由本人签字；供应商为法人或者其他组织的，应当由法定代表人（负责人），或者其授权代理人签字或者盖章，并加盖公章。</w:t>
      </w:r>
    </w:p>
    <w:p w14:paraId="7B715542">
      <w:pPr>
        <w:spacing w:line="360" w:lineRule="auto"/>
        <w:ind w:firstLine="420" w:firstLineChars="200"/>
        <w:rPr>
          <w:rFonts w:ascii="宋体" w:eastAsia="宋体"/>
          <w:szCs w:val="21"/>
        </w:rPr>
      </w:pPr>
      <w:r>
        <w:rPr>
          <w:rFonts w:hint="eastAsia" w:ascii="宋体" w:eastAsia="宋体"/>
          <w:szCs w:val="21"/>
        </w:rPr>
        <w:t>52.4提交</w:t>
      </w:r>
      <w:r>
        <w:rPr>
          <w:rFonts w:ascii="宋体" w:eastAsia="宋体"/>
          <w:szCs w:val="21"/>
        </w:rPr>
        <w:t>材料</w:t>
      </w:r>
    </w:p>
    <w:p w14:paraId="5B571181">
      <w:pPr>
        <w:spacing w:line="360" w:lineRule="auto"/>
        <w:ind w:firstLine="420" w:firstLineChars="200"/>
        <w:rPr>
          <w:rFonts w:ascii="宋体" w:eastAsia="宋体"/>
          <w:szCs w:val="21"/>
        </w:rPr>
      </w:pPr>
      <w:r>
        <w:rPr>
          <w:rFonts w:hint="eastAsia" w:ascii="宋体" w:eastAsia="宋体"/>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6E6D7E42">
      <w:pPr>
        <w:spacing w:line="360" w:lineRule="auto"/>
        <w:ind w:firstLine="420" w:firstLineChars="200"/>
        <w:rPr>
          <w:rFonts w:ascii="宋体" w:eastAsia="宋体"/>
          <w:szCs w:val="21"/>
        </w:rPr>
      </w:pPr>
      <w:r>
        <w:rPr>
          <w:rFonts w:hint="eastAsia" w:ascii="宋体" w:eastAsia="宋体"/>
          <w:szCs w:val="21"/>
        </w:rPr>
        <w:t>供应商可以委托代理人进行质疑。</w:t>
      </w:r>
      <w:r>
        <w:rPr>
          <w:rFonts w:ascii="宋体" w:eastAsia="宋体"/>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409DA4C0">
      <w:pPr>
        <w:spacing w:line="360" w:lineRule="auto"/>
        <w:ind w:firstLine="420" w:firstLineChars="200"/>
        <w:rPr>
          <w:rFonts w:ascii="宋体" w:eastAsia="宋体"/>
          <w:szCs w:val="21"/>
        </w:rPr>
      </w:pPr>
      <w:r>
        <w:rPr>
          <w:rFonts w:hint="eastAsia" w:ascii="宋体" w:eastAsia="宋体"/>
          <w:szCs w:val="21"/>
        </w:rPr>
        <w:t>52.5提交方式</w:t>
      </w:r>
    </w:p>
    <w:p w14:paraId="47D86C61">
      <w:pPr>
        <w:spacing w:line="360" w:lineRule="auto"/>
        <w:ind w:firstLine="420"/>
        <w:rPr>
          <w:rFonts w:ascii="宋体" w:eastAsia="宋体"/>
          <w:szCs w:val="21"/>
        </w:rPr>
      </w:pPr>
      <w:r>
        <w:rPr>
          <w:rFonts w:hint="eastAsia" w:ascii="宋体" w:eastAsia="宋体"/>
          <w:szCs w:val="21"/>
        </w:rPr>
        <w:t>5</w:t>
      </w:r>
      <w:r>
        <w:rPr>
          <w:rFonts w:ascii="宋体" w:eastAsia="宋体"/>
          <w:szCs w:val="21"/>
        </w:rPr>
        <w:t>2.5.1</w:t>
      </w:r>
      <w:r>
        <w:rPr>
          <w:rFonts w:hint="eastAsia" w:ascii="宋体" w:eastAsia="宋体"/>
          <w:szCs w:val="21"/>
        </w:rPr>
        <w:t>供应商登录“深圳政府采购智慧平台用户网上办事子系统（http://zfcg.szggzy.com/TPBidder/memberLogin）”，在“【我的项目】→【项目流程】→【质疑】”中提出质疑。</w:t>
      </w:r>
    </w:p>
    <w:p w14:paraId="4952ECBB">
      <w:pPr>
        <w:spacing w:line="360" w:lineRule="auto"/>
        <w:ind w:firstLine="420" w:firstLineChars="200"/>
        <w:rPr>
          <w:rFonts w:ascii="宋体" w:eastAsia="宋体"/>
          <w:b/>
          <w:bCs/>
          <w:szCs w:val="21"/>
        </w:rPr>
      </w:pPr>
      <w:r>
        <w:rPr>
          <w:rFonts w:hint="eastAsia" w:ascii="宋体" w:eastAsia="宋体"/>
          <w:szCs w:val="21"/>
        </w:rPr>
        <w:t>5</w:t>
      </w:r>
      <w:r>
        <w:rPr>
          <w:rFonts w:ascii="宋体" w:eastAsia="宋体"/>
          <w:szCs w:val="21"/>
        </w:rPr>
        <w:t>2.5.2</w:t>
      </w:r>
      <w:r>
        <w:rPr>
          <w:rFonts w:hint="eastAsia" w:ascii="宋体" w:eastAsia="宋体"/>
          <w:szCs w:val="21"/>
        </w:rPr>
        <w:t>同时，请质疑供应商根据深圳政府采购智慧平台（http://zfcg.szggzy.com/）所发布的质疑指引、质疑函模板填写质疑函并提交质疑材料。</w:t>
      </w:r>
      <w:r>
        <w:rPr>
          <w:rFonts w:hint="eastAsia" w:ascii="宋体" w:eastAsia="宋体"/>
          <w:bCs/>
          <w:szCs w:val="21"/>
        </w:rPr>
        <w:t>地址：深圳市中正招标有限公司（深圳市福田区民田路171号新华保险大厦903），质疑咨询电话：0755-83026699。</w:t>
      </w:r>
    </w:p>
    <w:p w14:paraId="55F7FA8E">
      <w:pPr>
        <w:spacing w:line="360" w:lineRule="auto"/>
        <w:ind w:firstLine="420" w:firstLineChars="200"/>
        <w:rPr>
          <w:rFonts w:ascii="宋体" w:eastAsia="宋体"/>
          <w:szCs w:val="21"/>
        </w:rPr>
      </w:pPr>
      <w:r>
        <w:rPr>
          <w:rFonts w:hint="eastAsia" w:ascii="宋体" w:eastAsia="宋体"/>
          <w:szCs w:val="21"/>
        </w:rPr>
        <w:t>52.6收文办理</w:t>
      </w:r>
      <w:r>
        <w:rPr>
          <w:rFonts w:ascii="宋体" w:eastAsia="宋体"/>
          <w:szCs w:val="21"/>
        </w:rPr>
        <w:t>程序</w:t>
      </w:r>
    </w:p>
    <w:p w14:paraId="6128358B">
      <w:pPr>
        <w:spacing w:line="360" w:lineRule="auto"/>
        <w:ind w:firstLine="420" w:firstLineChars="200"/>
        <w:rPr>
          <w:rFonts w:ascii="宋体" w:eastAsia="宋体"/>
          <w:szCs w:val="21"/>
        </w:rPr>
      </w:pPr>
      <w:r>
        <w:rPr>
          <w:rFonts w:hint="eastAsia" w:ascii="宋体" w:eastAsia="宋体"/>
          <w:szCs w:val="21"/>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41C127F2">
      <w:pPr>
        <w:spacing w:line="360" w:lineRule="auto"/>
        <w:ind w:firstLine="420" w:firstLineChars="200"/>
        <w:rPr>
          <w:rFonts w:ascii="宋体" w:eastAsia="宋体"/>
          <w:szCs w:val="21"/>
        </w:rPr>
      </w:pPr>
      <w:r>
        <w:rPr>
          <w:rFonts w:hint="eastAsia" w:ascii="宋体" w:eastAsia="宋体"/>
          <w:szCs w:val="21"/>
        </w:rPr>
        <w:t>52.6.2供应商提交的质疑材料不符合质疑条件的，视情况处理：</w:t>
      </w:r>
    </w:p>
    <w:p w14:paraId="124E73A7">
      <w:pPr>
        <w:spacing w:line="360" w:lineRule="auto"/>
        <w:ind w:firstLine="420" w:firstLineChars="200"/>
        <w:rPr>
          <w:rFonts w:ascii="宋体" w:eastAsia="宋体"/>
          <w:szCs w:val="21"/>
        </w:rPr>
      </w:pPr>
      <w:r>
        <w:rPr>
          <w:rFonts w:hint="eastAsia" w:ascii="宋体" w:eastAsia="宋体"/>
          <w:szCs w:val="21"/>
        </w:rPr>
        <w:t>供应商提交的质疑材料不全或者未按要求签字或者盖章的，采购代理机构应当一次性告知供应商需补正的内容和补正期限。</w:t>
      </w:r>
    </w:p>
    <w:p w14:paraId="4477F545">
      <w:pPr>
        <w:spacing w:line="360" w:lineRule="auto"/>
        <w:ind w:firstLine="420" w:firstLineChars="200"/>
        <w:rPr>
          <w:rFonts w:ascii="宋体" w:eastAsia="宋体"/>
          <w:szCs w:val="21"/>
        </w:rPr>
      </w:pPr>
      <w:r>
        <w:rPr>
          <w:rFonts w:hint="eastAsia" w:ascii="宋体" w:eastAsia="宋体"/>
          <w:szCs w:val="21"/>
        </w:rPr>
        <w:t>供应商提交的质疑存在下列情形之一的，不予受理：</w:t>
      </w:r>
    </w:p>
    <w:p w14:paraId="4E911C7E">
      <w:pPr>
        <w:spacing w:line="360" w:lineRule="auto"/>
        <w:ind w:firstLine="420" w:firstLineChars="200"/>
        <w:rPr>
          <w:rFonts w:ascii="宋体" w:eastAsia="宋体"/>
          <w:szCs w:val="21"/>
        </w:rPr>
      </w:pPr>
      <w:r>
        <w:rPr>
          <w:rFonts w:hint="eastAsia" w:ascii="宋体" w:eastAsia="宋体"/>
          <w:szCs w:val="21"/>
        </w:rPr>
        <w:t>（1）质疑主体不满足要求的；</w:t>
      </w:r>
    </w:p>
    <w:p w14:paraId="343C633E">
      <w:pPr>
        <w:spacing w:line="360" w:lineRule="auto"/>
        <w:ind w:firstLine="420" w:firstLineChars="200"/>
        <w:rPr>
          <w:rFonts w:ascii="宋体" w:eastAsia="宋体"/>
          <w:szCs w:val="21"/>
        </w:rPr>
      </w:pPr>
      <w:r>
        <w:rPr>
          <w:rFonts w:hint="eastAsia" w:ascii="宋体" w:eastAsia="宋体"/>
          <w:szCs w:val="21"/>
        </w:rPr>
        <w:t>（2）供应商自身权益未受到损害的；</w:t>
      </w:r>
    </w:p>
    <w:p w14:paraId="713F02C2">
      <w:pPr>
        <w:spacing w:line="360" w:lineRule="auto"/>
        <w:ind w:firstLine="420" w:firstLineChars="200"/>
        <w:rPr>
          <w:rFonts w:ascii="宋体" w:eastAsia="宋体"/>
          <w:szCs w:val="21"/>
        </w:rPr>
      </w:pPr>
      <w:r>
        <w:rPr>
          <w:rFonts w:hint="eastAsia" w:ascii="宋体" w:eastAsia="宋体"/>
          <w:szCs w:val="21"/>
        </w:rPr>
        <w:t>（3）供应商未在法定质疑期限内提出质疑的；</w:t>
      </w:r>
    </w:p>
    <w:p w14:paraId="7F6EBFEF">
      <w:pPr>
        <w:spacing w:line="360" w:lineRule="auto"/>
        <w:ind w:firstLine="420" w:firstLineChars="200"/>
        <w:rPr>
          <w:rFonts w:ascii="宋体" w:eastAsia="宋体"/>
          <w:szCs w:val="21"/>
        </w:rPr>
      </w:pPr>
      <w:r>
        <w:rPr>
          <w:rFonts w:hint="eastAsia" w:ascii="宋体" w:eastAsia="宋体"/>
          <w:szCs w:val="21"/>
        </w:rPr>
        <w:t>（4）质疑材料不全或者未按要求签字或者盖章的情况下，要求补正后，逾期未补正或者补正后仍不符合规定的；</w:t>
      </w:r>
    </w:p>
    <w:p w14:paraId="25BD0258">
      <w:pPr>
        <w:spacing w:line="360" w:lineRule="auto"/>
        <w:ind w:firstLine="420" w:firstLineChars="200"/>
        <w:rPr>
          <w:rFonts w:ascii="宋体" w:eastAsia="宋体"/>
          <w:szCs w:val="21"/>
        </w:rPr>
      </w:pPr>
      <w:r>
        <w:rPr>
          <w:rFonts w:hint="eastAsia" w:ascii="宋体" w:eastAsia="宋体"/>
          <w:szCs w:val="21"/>
        </w:rPr>
        <w:t>（5）其他不符合受理条件情形的。</w:t>
      </w:r>
    </w:p>
    <w:p w14:paraId="552C4242">
      <w:pPr>
        <w:spacing w:line="360" w:lineRule="auto"/>
        <w:ind w:firstLine="420" w:firstLineChars="200"/>
        <w:rPr>
          <w:rFonts w:ascii="宋体" w:eastAsia="宋体"/>
          <w:szCs w:val="21"/>
        </w:rPr>
      </w:pPr>
      <w:r>
        <w:rPr>
          <w:rFonts w:hint="eastAsia" w:ascii="宋体" w:eastAsia="宋体"/>
          <w:szCs w:val="21"/>
        </w:rPr>
        <w:t>质疑事项不予受理的，采购代理机构应当向供应商出具不符合质疑条件告知书。</w:t>
      </w:r>
    </w:p>
    <w:p w14:paraId="640CCFE7">
      <w:pPr>
        <w:spacing w:line="360" w:lineRule="auto"/>
        <w:rPr>
          <w:rFonts w:ascii="宋体" w:eastAsia="宋体"/>
          <w:szCs w:val="21"/>
        </w:rPr>
      </w:pPr>
      <w:r>
        <w:rPr>
          <w:rFonts w:hint="eastAsia" w:ascii="宋体" w:eastAsia="宋体"/>
          <w:szCs w:val="21"/>
        </w:rPr>
        <w:t xml:space="preserve">  52.7质疑答复时限</w:t>
      </w:r>
    </w:p>
    <w:p w14:paraId="4CFD52FC">
      <w:pPr>
        <w:spacing w:line="360" w:lineRule="auto"/>
        <w:rPr>
          <w:rFonts w:ascii="宋体" w:eastAsia="宋体"/>
          <w:szCs w:val="21"/>
        </w:rPr>
      </w:pPr>
      <w:r>
        <w:rPr>
          <w:rFonts w:hint="eastAsia" w:ascii="宋体" w:eastAsia="宋体"/>
          <w:szCs w:val="21"/>
        </w:rPr>
        <w:t xml:space="preserve">    自收文之日起七个工作日内。</w:t>
      </w:r>
    </w:p>
    <w:p w14:paraId="4DE9EAF3">
      <w:pPr>
        <w:spacing w:line="360" w:lineRule="auto"/>
        <w:rPr>
          <w:rFonts w:ascii="宋体" w:eastAsia="宋体"/>
          <w:szCs w:val="21"/>
        </w:rPr>
      </w:pPr>
      <w:r>
        <w:rPr>
          <w:rFonts w:hint="eastAsia" w:ascii="宋体" w:eastAsia="宋体"/>
          <w:szCs w:val="21"/>
        </w:rPr>
        <w:t xml:space="preserve">  52.8投诉</w:t>
      </w:r>
    </w:p>
    <w:p w14:paraId="32C26524">
      <w:pPr>
        <w:spacing w:line="360" w:lineRule="auto"/>
        <w:rPr>
          <w:rFonts w:ascii="宋体" w:eastAsia="宋体"/>
          <w:szCs w:val="21"/>
        </w:rPr>
      </w:pPr>
      <w:r>
        <w:rPr>
          <w:rFonts w:hint="eastAsia" w:ascii="宋体" w:eastAsia="宋体"/>
          <w:szCs w:val="21"/>
        </w:rPr>
        <w:t xml:space="preserve">    对质疑答复不满意或者未在规定时间内答复的，提出质疑的供应商可以在答复期满后15个工作日内向同级财政部门投诉。</w:t>
      </w:r>
      <w:bookmarkEnd w:id="99"/>
    </w:p>
    <w:sectPr>
      <w:footerReference r:id="rId5" w:type="default"/>
      <w:footerReference r:id="rId6" w:type="even"/>
      <w:pgSz w:w="11907" w:h="16840"/>
      <w:pgMar w:top="1440" w:right="1797" w:bottom="1440" w:left="1797" w:header="851" w:footer="992" w:gutter="0"/>
      <w:cols w:space="720"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隶书">
    <w:panose1 w:val="0201050906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ˎ̥">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
    <w:altName w:val="Times New Roman"/>
    <w:panose1 w:val="00000000000000000000"/>
    <w:charset w:val="00"/>
    <w:family w:val="auto"/>
    <w:pitch w:val="default"/>
    <w:sig w:usb0="00000000" w:usb1="00000000" w:usb2="00000000" w:usb3="00000000" w:csb0="00040001" w:csb1="00000000"/>
  </w:font>
  <w:font w:name="汉仪细等线简">
    <w:altName w:val="宋体"/>
    <w:panose1 w:val="00020600040101010101"/>
    <w:charset w:val="86"/>
    <w:family w:val="modern"/>
    <w:pitch w:val="default"/>
    <w:sig w:usb0="00000000" w:usb1="00000000" w:usb2="00000012" w:usb3="00000000" w:csb0="0004009F" w:csb1="DFD70000"/>
  </w:font>
  <w:font w:name="H Yb 2gj">
    <w:altName w:val="宋体"/>
    <w:panose1 w:val="00000000000000000000"/>
    <w:charset w:val="86"/>
    <w:family w:val="auto"/>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65C97"/>
  <w:p w14:paraId="0237A3B8">
    <w:pPr>
      <w:pStyle w:val="27"/>
      <w:framePr w:wrap="around" w:vAnchor="text" w:hAnchor="margin" w:xAlign="center" w:y="1"/>
      <w:rPr>
        <w:rStyle w:val="45"/>
      </w:rPr>
    </w:pPr>
  </w:p>
  <w:p w14:paraId="58F245FB">
    <w:pPr>
      <w:spacing w:after="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3F99B"/>
  <w:p w14:paraId="4A472D6D">
    <w:pPr>
      <w:pStyle w:val="27"/>
      <w:framePr w:wrap="around" w:vAnchor="text" w:hAnchor="margin" w:xAlign="center" w:y="1"/>
      <w:rPr>
        <w:rStyle w:val="45"/>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DB992">
    <w:pPr>
      <w:pStyle w:val="27"/>
      <w:framePr w:wrap="around" w:vAnchor="text" w:hAnchor="margin" w:xAlign="center" w:y="1"/>
      <w:rPr>
        <w:rStyle w:val="45"/>
      </w:rPr>
    </w:pPr>
    <w:r>
      <w:t xml:space="preserve">- </w:t>
    </w:r>
    <w:r>
      <w:fldChar w:fldCharType="begin"/>
    </w:r>
    <w:r>
      <w:instrText xml:space="preserve"> PAGE </w:instrText>
    </w:r>
    <w:r>
      <w:fldChar w:fldCharType="separate"/>
    </w:r>
    <w:r>
      <w:fldChar w:fldCharType="end"/>
    </w:r>
    <w:r>
      <w:t xml:space="preserve"> -</w:t>
    </w:r>
  </w:p>
  <w:p w14:paraId="6B1A9377">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61D2A">
    <w:pPr>
      <w:pStyle w:val="27"/>
      <w:framePr w:wrap="around" w:vAnchor="text" w:hAnchor="margin" w:xAlign="center" w:y="1"/>
      <w:rPr>
        <w:rStyle w:val="45"/>
      </w:rPr>
    </w:pPr>
    <w:r>
      <w:rPr>
        <w:rStyle w:val="45"/>
      </w:rPr>
      <w:fldChar w:fldCharType="begin"/>
    </w:r>
    <w:r>
      <w:rPr>
        <w:rStyle w:val="45"/>
      </w:rPr>
      <w:instrText xml:space="preserve">PAGE  </w:instrText>
    </w:r>
    <w:r>
      <w:rPr>
        <w:rStyle w:val="45"/>
      </w:rPr>
      <w:fldChar w:fldCharType="separate"/>
    </w:r>
    <w:r>
      <w:rPr>
        <w:rStyle w:val="45"/>
      </w:rPr>
      <w:fldChar w:fldCharType="end"/>
    </w:r>
  </w:p>
  <w:p w14:paraId="0BEC4531">
    <w:pPr>
      <w:pStyle w:val="2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2"/>
      <w:numFmt w:val="decimal"/>
      <w:lvlText w:val="%1."/>
      <w:lvlJc w:val="left"/>
      <w:pPr>
        <w:tabs>
          <w:tab w:val="left" w:pos="0"/>
        </w:tabs>
        <w:ind w:left="0" w:firstLine="0"/>
      </w:pPr>
    </w:lvl>
  </w:abstractNum>
  <w:abstractNum w:abstractNumId="1">
    <w:nsid w:val="B5E306ED"/>
    <w:multiLevelType w:val="multilevel"/>
    <w:tmpl w:val="B5E306ED"/>
    <w:lvl w:ilvl="0" w:tentative="0">
      <w:start w:val="1"/>
      <w:numFmt w:val="chineseCountingThousand"/>
      <w:pStyle w:val="102"/>
      <w:lvlText w:val="%1"/>
      <w:lvlJc w:val="left"/>
      <w:pPr>
        <w:tabs>
          <w:tab w:val="left" w:pos="0"/>
        </w:tabs>
        <w:ind w:left="630" w:hanging="420"/>
      </w:pPr>
      <w:rPr>
        <w:rFonts w:hint="eastAsia"/>
        <w:sz w:val="32"/>
        <w:szCs w:val="32"/>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2">
    <w:nsid w:val="BF205925"/>
    <w:multiLevelType w:val="multilevel"/>
    <w:tmpl w:val="BF205925"/>
    <w:lvl w:ilvl="0" w:tentative="0">
      <w:start w:val="1"/>
      <w:numFmt w:val="bullet"/>
      <w:pStyle w:val="89"/>
      <w:lvlText w:val=""/>
      <w:lvlJc w:val="left"/>
      <w:pPr>
        <w:tabs>
          <w:tab w:val="left" w:pos="0"/>
        </w:tabs>
        <w:ind w:left="420" w:hanging="420"/>
      </w:pPr>
      <w:rPr>
        <w:rFonts w:hint="default" w:ascii="Wingdings" w:hAnsi="Wingdings"/>
      </w:rPr>
    </w:lvl>
    <w:lvl w:ilvl="1" w:tentative="0">
      <w:start w:val="1"/>
      <w:numFmt w:val="bullet"/>
      <w:pStyle w:val="88"/>
      <w:lvlText w:val=""/>
      <w:lvlJc w:val="left"/>
      <w:pPr>
        <w:tabs>
          <w:tab w:val="left" w:pos="0"/>
        </w:tabs>
        <w:ind w:left="840" w:hanging="420"/>
      </w:pPr>
      <w:rPr>
        <w:rFonts w:hint="default" w:ascii="Wingdings" w:hAnsi="Wingdings"/>
      </w:rPr>
    </w:lvl>
    <w:lvl w:ilvl="2" w:tentative="0">
      <w:start w:val="1"/>
      <w:numFmt w:val="bullet"/>
      <w:lvlText w:val=""/>
      <w:lvlJc w:val="left"/>
      <w:pPr>
        <w:tabs>
          <w:tab w:val="left" w:pos="0"/>
        </w:tabs>
        <w:ind w:left="1260" w:hanging="420"/>
      </w:pPr>
      <w:rPr>
        <w:rFonts w:hint="default" w:ascii="Wingdings" w:hAnsi="Wingdings"/>
      </w:rPr>
    </w:lvl>
    <w:lvl w:ilvl="3" w:tentative="0">
      <w:start w:val="1"/>
      <w:numFmt w:val="bullet"/>
      <w:lvlText w:val=""/>
      <w:lvlJc w:val="left"/>
      <w:pPr>
        <w:tabs>
          <w:tab w:val="left" w:pos="0"/>
        </w:tabs>
        <w:ind w:left="1680" w:hanging="420"/>
      </w:pPr>
      <w:rPr>
        <w:rFonts w:hint="default" w:ascii="Wingdings" w:hAnsi="Wingdings"/>
      </w:rPr>
    </w:lvl>
    <w:lvl w:ilvl="4" w:tentative="0">
      <w:start w:val="1"/>
      <w:numFmt w:val="bullet"/>
      <w:lvlText w:val=""/>
      <w:lvlJc w:val="left"/>
      <w:pPr>
        <w:tabs>
          <w:tab w:val="left" w:pos="0"/>
        </w:tabs>
        <w:ind w:left="2100" w:hanging="420"/>
      </w:pPr>
      <w:rPr>
        <w:rFonts w:hint="default" w:ascii="Wingdings" w:hAnsi="Wingdings"/>
      </w:rPr>
    </w:lvl>
    <w:lvl w:ilvl="5" w:tentative="0">
      <w:start w:val="1"/>
      <w:numFmt w:val="bullet"/>
      <w:lvlText w:val=""/>
      <w:lvlJc w:val="left"/>
      <w:pPr>
        <w:tabs>
          <w:tab w:val="left" w:pos="0"/>
        </w:tabs>
        <w:ind w:left="2520" w:hanging="420"/>
      </w:pPr>
      <w:rPr>
        <w:rFonts w:hint="default" w:ascii="Wingdings" w:hAnsi="Wingdings"/>
      </w:rPr>
    </w:lvl>
    <w:lvl w:ilvl="6" w:tentative="0">
      <w:start w:val="1"/>
      <w:numFmt w:val="bullet"/>
      <w:lvlText w:val=""/>
      <w:lvlJc w:val="left"/>
      <w:pPr>
        <w:tabs>
          <w:tab w:val="left" w:pos="0"/>
        </w:tabs>
        <w:ind w:left="2940" w:hanging="420"/>
      </w:pPr>
      <w:rPr>
        <w:rFonts w:hint="default" w:ascii="Wingdings" w:hAnsi="Wingdings"/>
      </w:rPr>
    </w:lvl>
    <w:lvl w:ilvl="7" w:tentative="0">
      <w:start w:val="1"/>
      <w:numFmt w:val="bullet"/>
      <w:lvlText w:val=""/>
      <w:lvlJc w:val="left"/>
      <w:pPr>
        <w:tabs>
          <w:tab w:val="left" w:pos="0"/>
        </w:tabs>
        <w:ind w:left="3360" w:hanging="420"/>
      </w:pPr>
      <w:rPr>
        <w:rFonts w:hint="default" w:ascii="Wingdings" w:hAnsi="Wingdings"/>
      </w:rPr>
    </w:lvl>
    <w:lvl w:ilvl="8" w:tentative="0">
      <w:start w:val="1"/>
      <w:numFmt w:val="bullet"/>
      <w:lvlText w:val=""/>
      <w:lvlJc w:val="left"/>
      <w:pPr>
        <w:tabs>
          <w:tab w:val="left" w:pos="0"/>
        </w:tabs>
        <w:ind w:left="3780" w:hanging="420"/>
      </w:pPr>
      <w:rPr>
        <w:rFonts w:hint="default" w:ascii="Wingdings" w:hAnsi="Wingdings"/>
      </w:rPr>
    </w:lvl>
  </w:abstractNum>
  <w:abstractNum w:abstractNumId="3">
    <w:nsid w:val="C8879AEF"/>
    <w:multiLevelType w:val="multilevel"/>
    <w:tmpl w:val="C8879AEF"/>
    <w:lvl w:ilvl="0" w:tentative="0">
      <w:start w:val="1"/>
      <w:numFmt w:val="japaneseCounting"/>
      <w:lvlText w:val="第%1章"/>
      <w:lvlJc w:val="left"/>
      <w:pPr>
        <w:tabs>
          <w:tab w:val="left" w:pos="0"/>
        </w:tabs>
        <w:ind w:left="720" w:hanging="720"/>
      </w:pPr>
      <w:rPr>
        <w:rFonts w:hint="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4">
    <w:nsid w:val="CF092B84"/>
    <w:multiLevelType w:val="singleLevel"/>
    <w:tmpl w:val="CF092B84"/>
    <w:lvl w:ilvl="0" w:tentative="0">
      <w:start w:val="1"/>
      <w:numFmt w:val="decimal"/>
      <w:pStyle w:val="60"/>
      <w:lvlText w:val="%1."/>
      <w:lvlJc w:val="left"/>
      <w:pPr>
        <w:tabs>
          <w:tab w:val="left" w:pos="0"/>
        </w:tabs>
        <w:ind w:left="2040" w:hanging="360"/>
      </w:pPr>
    </w:lvl>
  </w:abstractNum>
  <w:abstractNum w:abstractNumId="5">
    <w:nsid w:val="F3B611E8"/>
    <w:multiLevelType w:val="singleLevel"/>
    <w:tmpl w:val="F3B611E8"/>
    <w:lvl w:ilvl="0" w:tentative="0">
      <w:start w:val="1"/>
      <w:numFmt w:val="decimal"/>
      <w:lvlText w:val="%1."/>
      <w:lvlJc w:val="left"/>
      <w:pPr>
        <w:tabs>
          <w:tab w:val="left" w:pos="312"/>
        </w:tabs>
      </w:pPr>
    </w:lvl>
  </w:abstractNum>
  <w:abstractNum w:abstractNumId="6">
    <w:nsid w:val="0053208E"/>
    <w:multiLevelType w:val="singleLevel"/>
    <w:tmpl w:val="0053208E"/>
    <w:lvl w:ilvl="0" w:tentative="0">
      <w:start w:val="1"/>
      <w:numFmt w:val="bullet"/>
      <w:pStyle w:val="14"/>
      <w:lvlText w:val=""/>
      <w:lvlJc w:val="left"/>
      <w:pPr>
        <w:tabs>
          <w:tab w:val="left" w:pos="0"/>
        </w:tabs>
        <w:ind w:left="360" w:hanging="360"/>
      </w:pPr>
      <w:rPr>
        <w:rFonts w:hint="default" w:ascii="Wingdings" w:hAnsi="Wingdings"/>
      </w:rPr>
    </w:lvl>
  </w:abstractNum>
  <w:abstractNum w:abstractNumId="7">
    <w:nsid w:val="0248C179"/>
    <w:multiLevelType w:val="singleLevel"/>
    <w:tmpl w:val="0248C179"/>
    <w:lvl w:ilvl="0" w:tentative="0">
      <w:start w:val="2"/>
      <w:numFmt w:val="decimal"/>
      <w:suff w:val="nothing"/>
      <w:lvlText w:val="%1、"/>
      <w:lvlJc w:val="left"/>
      <w:pPr>
        <w:tabs>
          <w:tab w:val="left" w:pos="0"/>
        </w:tabs>
        <w:ind w:left="0" w:firstLine="0"/>
      </w:pPr>
    </w:lvl>
  </w:abstractNum>
  <w:abstractNum w:abstractNumId="8">
    <w:nsid w:val="03D62ECE"/>
    <w:multiLevelType w:val="multilevel"/>
    <w:tmpl w:val="03D62ECE"/>
    <w:lvl w:ilvl="0" w:tentative="0">
      <w:start w:val="1"/>
      <w:numFmt w:val="bullet"/>
      <w:pStyle w:val="148"/>
      <w:lvlText w:val=""/>
      <w:lvlJc w:val="left"/>
      <w:pPr>
        <w:tabs>
          <w:tab w:val="left" w:pos="0"/>
        </w:tabs>
        <w:ind w:left="360" w:hanging="360"/>
      </w:pPr>
      <w:rPr>
        <w:rFonts w:hint="default" w:ascii="Symbol" w:hAnsi="Symbol"/>
      </w:rPr>
    </w:lvl>
    <w:lvl w:ilvl="1" w:tentative="0">
      <w:start w:val="1"/>
      <w:numFmt w:val="bullet"/>
      <w:lvlText w:val=""/>
      <w:lvlJc w:val="left"/>
      <w:pPr>
        <w:tabs>
          <w:tab w:val="left" w:pos="0"/>
        </w:tabs>
        <w:ind w:left="1140" w:hanging="420"/>
      </w:pPr>
      <w:rPr>
        <w:rFonts w:hint="default" w:ascii="Wingdings" w:hAnsi="Wingdings"/>
      </w:rPr>
    </w:lvl>
    <w:lvl w:ilvl="2" w:tentative="0">
      <w:start w:val="1"/>
      <w:numFmt w:val="bullet"/>
      <w:lvlText w:val=""/>
      <w:lvlJc w:val="left"/>
      <w:pPr>
        <w:tabs>
          <w:tab w:val="left" w:pos="0"/>
        </w:tabs>
        <w:ind w:left="1800" w:hanging="360"/>
      </w:pPr>
      <w:rPr>
        <w:rFonts w:hint="default" w:ascii="Wingdings" w:hAnsi="Wingdings"/>
      </w:rPr>
    </w:lvl>
    <w:lvl w:ilvl="3" w:tentative="0">
      <w:start w:val="1"/>
      <w:numFmt w:val="bullet"/>
      <w:lvlText w:val=""/>
      <w:lvlJc w:val="left"/>
      <w:pPr>
        <w:tabs>
          <w:tab w:val="left" w:pos="0"/>
        </w:tabs>
        <w:ind w:left="2520" w:hanging="360"/>
      </w:pPr>
      <w:rPr>
        <w:rFonts w:hint="default" w:ascii="Symbol" w:hAnsi="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rPr>
    </w:lvl>
    <w:lvl w:ilvl="6" w:tentative="0">
      <w:start w:val="1"/>
      <w:numFmt w:val="bullet"/>
      <w:lvlText w:val=""/>
      <w:lvlJc w:val="left"/>
      <w:pPr>
        <w:tabs>
          <w:tab w:val="left" w:pos="0"/>
        </w:tabs>
        <w:ind w:left="4680" w:hanging="360"/>
      </w:pPr>
      <w:rPr>
        <w:rFonts w:hint="default" w:ascii="Symbol" w:hAnsi="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rPr>
    </w:lvl>
  </w:abstractNum>
  <w:abstractNum w:abstractNumId="9">
    <w:nsid w:val="2A8F537B"/>
    <w:multiLevelType w:val="singleLevel"/>
    <w:tmpl w:val="2A8F537B"/>
    <w:lvl w:ilvl="0" w:tentative="0">
      <w:start w:val="1"/>
      <w:numFmt w:val="decimal"/>
      <w:suff w:val="nothing"/>
      <w:lvlText w:val="（%1）"/>
      <w:lvlJc w:val="left"/>
      <w:pPr>
        <w:tabs>
          <w:tab w:val="left" w:pos="0"/>
        </w:tabs>
        <w:ind w:left="0" w:firstLine="0"/>
      </w:pPr>
    </w:lvl>
  </w:abstractNum>
  <w:abstractNum w:abstractNumId="10">
    <w:nsid w:val="59ADCABA"/>
    <w:multiLevelType w:val="multilevel"/>
    <w:tmpl w:val="59ADCABA"/>
    <w:lvl w:ilvl="0" w:tentative="0">
      <w:start w:val="1"/>
      <w:numFmt w:val="bullet"/>
      <w:pStyle w:val="75"/>
      <w:lvlText w:val=""/>
      <w:lvlJc w:val="left"/>
      <w:pPr>
        <w:tabs>
          <w:tab w:val="left" w:pos="0"/>
        </w:tabs>
        <w:ind w:left="840" w:hanging="420"/>
      </w:pPr>
      <w:rPr>
        <w:rFonts w:hint="default" w:ascii="Wingdings" w:hAnsi="Wingdings"/>
      </w:rPr>
    </w:lvl>
    <w:lvl w:ilvl="1" w:tentative="0">
      <w:start w:val="1"/>
      <w:numFmt w:val="bullet"/>
      <w:pStyle w:val="76"/>
      <w:lvlText w:val=""/>
      <w:lvlJc w:val="left"/>
      <w:pPr>
        <w:tabs>
          <w:tab w:val="left" w:pos="0"/>
        </w:tabs>
        <w:ind w:left="1260" w:hanging="420"/>
      </w:pPr>
      <w:rPr>
        <w:rFonts w:hint="default" w:ascii="Wingdings" w:hAnsi="Wingdings"/>
      </w:rPr>
    </w:lvl>
    <w:lvl w:ilvl="2" w:tentative="0">
      <w:start w:val="1"/>
      <w:numFmt w:val="bullet"/>
      <w:lvlText w:val=""/>
      <w:lvlJc w:val="left"/>
      <w:pPr>
        <w:tabs>
          <w:tab w:val="left" w:pos="0"/>
        </w:tabs>
        <w:ind w:left="1680" w:hanging="420"/>
      </w:pPr>
      <w:rPr>
        <w:rFonts w:hint="default" w:ascii="Wingdings" w:hAnsi="Wingdings"/>
      </w:rPr>
    </w:lvl>
    <w:lvl w:ilvl="3" w:tentative="0">
      <w:start w:val="1"/>
      <w:numFmt w:val="bullet"/>
      <w:lvlText w:val=""/>
      <w:lvlJc w:val="left"/>
      <w:pPr>
        <w:tabs>
          <w:tab w:val="left" w:pos="0"/>
        </w:tabs>
        <w:ind w:left="2100" w:hanging="420"/>
      </w:pPr>
      <w:rPr>
        <w:rFonts w:hint="default" w:ascii="Wingdings" w:hAnsi="Wingdings"/>
      </w:rPr>
    </w:lvl>
    <w:lvl w:ilvl="4" w:tentative="0">
      <w:start w:val="1"/>
      <w:numFmt w:val="bullet"/>
      <w:lvlText w:val=""/>
      <w:lvlJc w:val="left"/>
      <w:pPr>
        <w:tabs>
          <w:tab w:val="left" w:pos="0"/>
        </w:tabs>
        <w:ind w:left="2520" w:hanging="420"/>
      </w:pPr>
      <w:rPr>
        <w:rFonts w:hint="default" w:ascii="Wingdings" w:hAnsi="Wingdings"/>
      </w:rPr>
    </w:lvl>
    <w:lvl w:ilvl="5" w:tentative="0">
      <w:start w:val="1"/>
      <w:numFmt w:val="bullet"/>
      <w:lvlText w:val=""/>
      <w:lvlJc w:val="left"/>
      <w:pPr>
        <w:tabs>
          <w:tab w:val="left" w:pos="0"/>
        </w:tabs>
        <w:ind w:left="2940" w:hanging="420"/>
      </w:pPr>
      <w:rPr>
        <w:rFonts w:hint="default" w:ascii="Wingdings" w:hAnsi="Wingdings"/>
      </w:rPr>
    </w:lvl>
    <w:lvl w:ilvl="6" w:tentative="0">
      <w:start w:val="1"/>
      <w:numFmt w:val="bullet"/>
      <w:lvlText w:val=""/>
      <w:lvlJc w:val="left"/>
      <w:pPr>
        <w:tabs>
          <w:tab w:val="left" w:pos="0"/>
        </w:tabs>
        <w:ind w:left="3360" w:hanging="420"/>
      </w:pPr>
      <w:rPr>
        <w:rFonts w:hint="default" w:ascii="Wingdings" w:hAnsi="Wingdings"/>
      </w:rPr>
    </w:lvl>
    <w:lvl w:ilvl="7" w:tentative="0">
      <w:start w:val="1"/>
      <w:numFmt w:val="bullet"/>
      <w:lvlText w:val=""/>
      <w:lvlJc w:val="left"/>
      <w:pPr>
        <w:tabs>
          <w:tab w:val="left" w:pos="0"/>
        </w:tabs>
        <w:ind w:left="3780" w:hanging="420"/>
      </w:pPr>
      <w:rPr>
        <w:rFonts w:hint="default" w:ascii="Wingdings" w:hAnsi="Wingdings"/>
      </w:rPr>
    </w:lvl>
    <w:lvl w:ilvl="8" w:tentative="0">
      <w:start w:val="1"/>
      <w:numFmt w:val="bullet"/>
      <w:lvlText w:val=""/>
      <w:lvlJc w:val="left"/>
      <w:pPr>
        <w:tabs>
          <w:tab w:val="left" w:pos="0"/>
        </w:tabs>
        <w:ind w:left="4200" w:hanging="420"/>
      </w:pPr>
      <w:rPr>
        <w:rFonts w:hint="default" w:ascii="Wingdings" w:hAnsi="Wingdings"/>
      </w:rPr>
    </w:lvl>
  </w:abstractNum>
  <w:abstractNum w:abstractNumId="11">
    <w:nsid w:val="5A241D34"/>
    <w:multiLevelType w:val="multilevel"/>
    <w:tmpl w:val="5A241D34"/>
    <w:lvl w:ilvl="0" w:tentative="0">
      <w:start w:val="1"/>
      <w:numFmt w:val="japaneseCounting"/>
      <w:lvlText w:val="（%1）"/>
      <w:lvlJc w:val="left"/>
      <w:pPr>
        <w:tabs>
          <w:tab w:val="left" w:pos="0"/>
        </w:tabs>
        <w:ind w:left="720" w:hanging="720"/>
      </w:pPr>
      <w:rPr>
        <w:rFonts w:hint="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12">
    <w:nsid w:val="6BAD3618"/>
    <w:multiLevelType w:val="singleLevel"/>
    <w:tmpl w:val="6BAD3618"/>
    <w:lvl w:ilvl="0" w:tentative="0">
      <w:start w:val="14"/>
      <w:numFmt w:val="chineseCounting"/>
      <w:suff w:val="nothing"/>
      <w:lvlText w:val="%1、"/>
      <w:lvlJc w:val="left"/>
      <w:rPr>
        <w:rFonts w:hint="eastAsia"/>
      </w:rPr>
    </w:lvl>
  </w:abstractNum>
  <w:abstractNum w:abstractNumId="13">
    <w:nsid w:val="72183CF9"/>
    <w:multiLevelType w:val="singleLevel"/>
    <w:tmpl w:val="72183CF9"/>
    <w:lvl w:ilvl="0" w:tentative="0">
      <w:start w:val="4"/>
      <w:numFmt w:val="chineseCounting"/>
      <w:suff w:val="nothing"/>
      <w:lvlText w:val="%1、"/>
      <w:lvlJc w:val="left"/>
      <w:pPr>
        <w:tabs>
          <w:tab w:val="left" w:pos="0"/>
        </w:tabs>
        <w:ind w:left="0" w:firstLine="0"/>
      </w:pPr>
      <w:rPr>
        <w:rFonts w:hint="eastAsia"/>
      </w:rPr>
    </w:lvl>
  </w:abstractNum>
  <w:num w:numId="1">
    <w:abstractNumId w:val="6"/>
  </w:num>
  <w:num w:numId="2">
    <w:abstractNumId w:val="4"/>
  </w:num>
  <w:num w:numId="3">
    <w:abstractNumId w:val="10"/>
  </w:num>
  <w:num w:numId="4">
    <w:abstractNumId w:val="2"/>
  </w:num>
  <w:num w:numId="5">
    <w:abstractNumId w:val="1"/>
  </w:num>
  <w:num w:numId="6">
    <w:abstractNumId w:val="8"/>
  </w:num>
  <w:num w:numId="7">
    <w:abstractNumId w:val="5"/>
  </w:num>
  <w:num w:numId="8">
    <w:abstractNumId w:val="13"/>
  </w:num>
  <w:num w:numId="9">
    <w:abstractNumId w:val="7"/>
  </w:num>
  <w:num w:numId="10">
    <w:abstractNumId w:val="0"/>
  </w:num>
  <w:num w:numId="11">
    <w:abstractNumId w:val="9"/>
  </w:num>
  <w:num w:numId="12">
    <w:abstractNumId w:val="11"/>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growAutofit/>
    <w:useFELayout/>
    <w:doNotUseIndentAsNumberingTabStop/>
    <w:compatSetting w:name="compatibilityMode" w:uri="http://schemas.microsoft.com/office/word" w:val="14"/>
  </w:compat>
  <w:docVars>
    <w:docVar w:name="commondata" w:val="eyJoZGlkIjoiZWM2YmRlNDU3NGEzNjI1NDQyMDllNWVlNzk1MzhhMzIifQ=="/>
  </w:docVars>
  <w:rsids>
    <w:rsidRoot w:val="00000000"/>
    <w:rsid w:val="00F8465A"/>
    <w:rsid w:val="00FE004B"/>
    <w:rsid w:val="017A3279"/>
    <w:rsid w:val="08AC3053"/>
    <w:rsid w:val="0BE73044"/>
    <w:rsid w:val="0D1241F2"/>
    <w:rsid w:val="13997285"/>
    <w:rsid w:val="17352B76"/>
    <w:rsid w:val="1EFB5B7C"/>
    <w:rsid w:val="2B8237D6"/>
    <w:rsid w:val="33C61EE3"/>
    <w:rsid w:val="404B3E9C"/>
    <w:rsid w:val="44172F68"/>
    <w:rsid w:val="46C36AF8"/>
    <w:rsid w:val="4C160DD5"/>
    <w:rsid w:val="50420770"/>
    <w:rsid w:val="52E837CD"/>
    <w:rsid w:val="5C675762"/>
    <w:rsid w:val="6480176C"/>
    <w:rsid w:val="741B4334"/>
    <w:rsid w:val="76E57E1A"/>
    <w:rsid w:val="78A13D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qFormat/>
    <w:uiPriority w:val="0"/>
    <w:pPr>
      <w:spacing w:before="340" w:after="330" w:line="360" w:lineRule="auto"/>
      <w:jc w:val="center"/>
      <w:outlineLvl w:val="0"/>
    </w:pPr>
    <w:rPr>
      <w:rFonts w:eastAsia="黑体"/>
      <w:kern w:val="44"/>
      <w:szCs w:val="44"/>
    </w:rPr>
  </w:style>
  <w:style w:type="paragraph" w:styleId="5">
    <w:name w:val="heading 2"/>
    <w:basedOn w:val="1"/>
    <w:next w:val="1"/>
    <w:qFormat/>
    <w:uiPriority w:val="0"/>
    <w:pPr>
      <w:adjustRightInd w:val="0"/>
      <w:jc w:val="center"/>
      <w:textAlignment w:val="baseline"/>
      <w:outlineLvl w:val="1"/>
    </w:pPr>
    <w:rPr>
      <w:kern w:val="0"/>
      <w:sz w:val="24"/>
      <w:szCs w:val="20"/>
    </w:rPr>
  </w:style>
  <w:style w:type="paragraph" w:styleId="3">
    <w:name w:val="heading 3"/>
    <w:basedOn w:val="4"/>
    <w:next w:val="1"/>
    <w:qFormat/>
    <w:uiPriority w:val="0"/>
    <w:pPr>
      <w:spacing w:before="260" w:after="260" w:line="240" w:lineRule="auto"/>
      <w:outlineLvl w:val="2"/>
    </w:pPr>
    <w:rPr>
      <w:rFonts w:ascii="宋体" w:eastAsia="宋体"/>
      <w:szCs w:val="32"/>
    </w:rPr>
  </w:style>
  <w:style w:type="paragraph" w:styleId="4">
    <w:name w:val="heading 4"/>
    <w:basedOn w:val="1"/>
    <w:next w:val="1"/>
    <w:qFormat/>
    <w:uiPriority w:val="0"/>
    <w:pPr>
      <w:keepNext/>
      <w:keepLines/>
      <w:widowControl w:val="0"/>
      <w:spacing w:before="280" w:after="290" w:line="377" w:lineRule="auto"/>
      <w:outlineLvl w:val="3"/>
    </w:pPr>
    <w:rPr>
      <w:rFonts w:ascii="Arial" w:hAnsi="Arial" w:eastAsia="黑体"/>
      <w:b/>
      <w:bCs/>
      <w:sz w:val="28"/>
      <w:szCs w:val="28"/>
    </w:rPr>
  </w:style>
  <w:style w:type="paragraph" w:styleId="6">
    <w:name w:val="heading 5"/>
    <w:basedOn w:val="1"/>
    <w:next w:val="7"/>
    <w:qFormat/>
    <w:uiPriority w:val="0"/>
    <w:pPr>
      <w:keepNext/>
      <w:keepLines/>
      <w:widowControl w:val="0"/>
      <w:spacing w:before="280" w:after="290" w:line="377" w:lineRule="auto"/>
      <w:outlineLvl w:val="4"/>
    </w:pPr>
    <w:rPr>
      <w:b/>
      <w:sz w:val="28"/>
      <w:szCs w:val="20"/>
    </w:rPr>
  </w:style>
  <w:style w:type="paragraph" w:styleId="8">
    <w:name w:val="heading 6"/>
    <w:basedOn w:val="1"/>
    <w:next w:val="7"/>
    <w:qFormat/>
    <w:uiPriority w:val="0"/>
    <w:pPr>
      <w:keepNext/>
      <w:keepLines/>
      <w:widowControl w:val="0"/>
      <w:spacing w:before="240" w:after="64" w:line="319" w:lineRule="auto"/>
      <w:outlineLvl w:val="5"/>
    </w:pPr>
    <w:rPr>
      <w:rFonts w:ascii="Arial" w:hAnsi="Arial" w:eastAsia="黑体"/>
      <w:b/>
      <w:sz w:val="24"/>
      <w:szCs w:val="20"/>
    </w:rPr>
  </w:style>
  <w:style w:type="paragraph" w:styleId="9">
    <w:name w:val="heading 7"/>
    <w:basedOn w:val="1"/>
    <w:next w:val="7"/>
    <w:qFormat/>
    <w:uiPriority w:val="0"/>
    <w:pPr>
      <w:keepNext/>
      <w:keepLines/>
      <w:widowControl w:val="0"/>
      <w:spacing w:before="240" w:after="64" w:line="319" w:lineRule="auto"/>
      <w:outlineLvl w:val="6"/>
    </w:pPr>
    <w:rPr>
      <w:b/>
      <w:sz w:val="24"/>
      <w:szCs w:val="20"/>
    </w:rPr>
  </w:style>
  <w:style w:type="paragraph" w:styleId="10">
    <w:name w:val="heading 8"/>
    <w:basedOn w:val="1"/>
    <w:next w:val="7"/>
    <w:qFormat/>
    <w:uiPriority w:val="0"/>
    <w:pPr>
      <w:keepNext/>
      <w:keepLines/>
      <w:widowControl w:val="0"/>
      <w:spacing w:before="240" w:after="64" w:line="319" w:lineRule="auto"/>
      <w:outlineLvl w:val="7"/>
    </w:pPr>
    <w:rPr>
      <w:rFonts w:ascii="Arial" w:hAnsi="Arial" w:eastAsia="黑体"/>
      <w:sz w:val="24"/>
      <w:szCs w:val="20"/>
    </w:rPr>
  </w:style>
  <w:style w:type="paragraph" w:styleId="11">
    <w:name w:val="heading 9"/>
    <w:basedOn w:val="1"/>
    <w:next w:val="7"/>
    <w:qFormat/>
    <w:uiPriority w:val="0"/>
    <w:pPr>
      <w:keepNext/>
      <w:keepLines/>
      <w:widowControl w:val="0"/>
      <w:spacing w:before="240" w:after="64" w:line="319" w:lineRule="auto"/>
      <w:outlineLvl w:val="8"/>
    </w:pPr>
    <w:rPr>
      <w:rFonts w:ascii="Arial" w:hAnsi="Arial" w:eastAsia="黑体"/>
      <w:szCs w:val="20"/>
    </w:rPr>
  </w:style>
  <w:style w:type="character" w:default="1" w:styleId="43">
    <w:name w:val="Default Paragraph Font"/>
    <w:qFormat/>
    <w:uiPriority w:val="0"/>
  </w:style>
  <w:style w:type="table" w:default="1" w:styleId="42">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toc 7"/>
    <w:basedOn w:val="1"/>
    <w:next w:val="1"/>
    <w:qFormat/>
    <w:uiPriority w:val="0"/>
    <w:pPr>
      <w:ind w:left="1260"/>
      <w:jc w:val="left"/>
    </w:pPr>
    <w:rPr>
      <w:szCs w:val="21"/>
    </w:rPr>
  </w:style>
  <w:style w:type="paragraph" w:styleId="13">
    <w:name w:val="caption"/>
    <w:basedOn w:val="1"/>
    <w:next w:val="1"/>
    <w:qFormat/>
    <w:uiPriority w:val="0"/>
    <w:pPr>
      <w:widowControl/>
      <w:spacing w:line="360" w:lineRule="auto"/>
      <w:ind w:firstLine="920" w:firstLineChars="920"/>
      <w:jc w:val="left"/>
    </w:pPr>
    <w:rPr>
      <w:rFonts w:ascii="宋体"/>
      <w:b/>
      <w:bCs/>
      <w:kern w:val="0"/>
      <w:sz w:val="20"/>
      <w:szCs w:val="20"/>
    </w:rPr>
  </w:style>
  <w:style w:type="paragraph" w:styleId="14">
    <w:name w:val="List Bullet"/>
    <w:basedOn w:val="1"/>
    <w:qFormat/>
    <w:uiPriority w:val="0"/>
    <w:pPr>
      <w:numPr>
        <w:ilvl w:val="0"/>
        <w:numId w:val="1"/>
      </w:numPr>
    </w:pPr>
    <w:rPr>
      <w:szCs w:val="20"/>
    </w:rPr>
  </w:style>
  <w:style w:type="paragraph" w:styleId="15">
    <w:name w:val="Document Map"/>
    <w:basedOn w:val="1"/>
    <w:qFormat/>
    <w:uiPriority w:val="0"/>
    <w:pPr>
      <w:shd w:val="clear" w:color="auto" w:fill="000080"/>
    </w:pPr>
  </w:style>
  <w:style w:type="paragraph" w:styleId="16">
    <w:name w:val="annotation text"/>
    <w:basedOn w:val="1"/>
    <w:qFormat/>
    <w:uiPriority w:val="0"/>
    <w:pPr>
      <w:autoSpaceDE w:val="0"/>
      <w:autoSpaceDN w:val="0"/>
      <w:adjustRightInd w:val="0"/>
      <w:jc w:val="left"/>
      <w:textAlignment w:val="baseline"/>
    </w:pPr>
    <w:rPr>
      <w:rFonts w:ascii="宋体"/>
      <w:kern w:val="0"/>
      <w:sz w:val="34"/>
      <w:szCs w:val="20"/>
    </w:rPr>
  </w:style>
  <w:style w:type="paragraph" w:styleId="17">
    <w:name w:val="Body Text 3"/>
    <w:basedOn w:val="1"/>
    <w:qFormat/>
    <w:uiPriority w:val="0"/>
    <w:pPr>
      <w:spacing w:after="120"/>
    </w:pPr>
    <w:rPr>
      <w:sz w:val="16"/>
      <w:szCs w:val="16"/>
    </w:rPr>
  </w:style>
  <w:style w:type="paragraph" w:styleId="18">
    <w:name w:val="Body Text"/>
    <w:basedOn w:val="1"/>
    <w:next w:val="1"/>
    <w:qFormat/>
    <w:uiPriority w:val="0"/>
    <w:pPr>
      <w:spacing w:line="360" w:lineRule="auto"/>
    </w:pPr>
    <w:rPr>
      <w:b/>
      <w:bCs/>
      <w:sz w:val="24"/>
    </w:rPr>
  </w:style>
  <w:style w:type="paragraph" w:styleId="19">
    <w:name w:val="Body Text Indent"/>
    <w:basedOn w:val="1"/>
    <w:qFormat/>
    <w:uiPriority w:val="0"/>
    <w:pPr>
      <w:spacing w:line="360" w:lineRule="auto"/>
      <w:ind w:firstLine="200" w:firstLineChars="200"/>
    </w:pPr>
  </w:style>
  <w:style w:type="paragraph" w:styleId="20">
    <w:name w:val="toc 5"/>
    <w:basedOn w:val="1"/>
    <w:next w:val="1"/>
    <w:qFormat/>
    <w:uiPriority w:val="0"/>
    <w:pPr>
      <w:ind w:left="840"/>
      <w:jc w:val="left"/>
    </w:pPr>
    <w:rPr>
      <w:szCs w:val="21"/>
    </w:rPr>
  </w:style>
  <w:style w:type="paragraph" w:styleId="21">
    <w:name w:val="toc 3"/>
    <w:basedOn w:val="1"/>
    <w:next w:val="1"/>
    <w:qFormat/>
    <w:uiPriority w:val="0"/>
    <w:pPr>
      <w:ind w:left="420"/>
      <w:jc w:val="left"/>
    </w:pPr>
    <w:rPr>
      <w:i/>
      <w:iCs/>
    </w:rPr>
  </w:style>
  <w:style w:type="paragraph" w:styleId="22">
    <w:name w:val="Plain Text"/>
    <w:basedOn w:val="1"/>
    <w:qFormat/>
    <w:uiPriority w:val="0"/>
    <w:rPr>
      <w:rFonts w:ascii="宋体"/>
      <w:szCs w:val="20"/>
    </w:rPr>
  </w:style>
  <w:style w:type="paragraph" w:styleId="23">
    <w:name w:val="toc 8"/>
    <w:basedOn w:val="1"/>
    <w:next w:val="1"/>
    <w:qFormat/>
    <w:uiPriority w:val="0"/>
    <w:pPr>
      <w:ind w:left="1470"/>
      <w:jc w:val="left"/>
    </w:pPr>
    <w:rPr>
      <w:szCs w:val="21"/>
    </w:rPr>
  </w:style>
  <w:style w:type="paragraph" w:styleId="24">
    <w:name w:val="Date"/>
    <w:basedOn w:val="1"/>
    <w:next w:val="1"/>
    <w:qFormat/>
    <w:uiPriority w:val="0"/>
    <w:rPr>
      <w:rFonts w:ascii="宋体"/>
      <w:sz w:val="32"/>
      <w:szCs w:val="20"/>
    </w:rPr>
  </w:style>
  <w:style w:type="paragraph" w:styleId="25">
    <w:name w:val="Body Text Indent 2"/>
    <w:basedOn w:val="1"/>
    <w:qFormat/>
    <w:uiPriority w:val="0"/>
    <w:pPr>
      <w:spacing w:before="50" w:beforeLines="50" w:after="50" w:afterLines="50" w:line="120" w:lineRule="auto"/>
      <w:ind w:firstLine="400" w:firstLineChars="400"/>
      <w:jc w:val="left"/>
    </w:pPr>
    <w:rPr>
      <w:rFonts w:ascii="宋体"/>
    </w:rPr>
  </w:style>
  <w:style w:type="paragraph" w:styleId="26">
    <w:name w:val="Balloon Text"/>
    <w:basedOn w:val="1"/>
    <w:qFormat/>
    <w:uiPriority w:val="0"/>
    <w:rPr>
      <w:sz w:val="18"/>
      <w:szCs w:val="18"/>
    </w:rPr>
  </w:style>
  <w:style w:type="paragraph" w:styleId="27">
    <w:name w:val="footer"/>
    <w:basedOn w:val="1"/>
    <w:qFormat/>
    <w:uiPriority w:val="0"/>
    <w:pPr>
      <w:tabs>
        <w:tab w:val="center" w:pos="4153"/>
        <w:tab w:val="right" w:pos="8306"/>
      </w:tabs>
      <w:snapToGrid w:val="0"/>
      <w:jc w:val="left"/>
    </w:pPr>
    <w:rPr>
      <w:sz w:val="18"/>
      <w:szCs w:val="18"/>
    </w:rPr>
  </w:style>
  <w:style w:type="paragraph" w:styleId="2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0"/>
    <w:pPr>
      <w:spacing w:before="120" w:after="120"/>
      <w:jc w:val="left"/>
    </w:pPr>
    <w:rPr>
      <w:b/>
      <w:bCs/>
      <w:caps/>
    </w:rPr>
  </w:style>
  <w:style w:type="paragraph" w:styleId="30">
    <w:name w:val="toc 4"/>
    <w:basedOn w:val="1"/>
    <w:next w:val="1"/>
    <w:qFormat/>
    <w:uiPriority w:val="0"/>
    <w:pPr>
      <w:ind w:left="630"/>
      <w:jc w:val="left"/>
    </w:pPr>
    <w:rPr>
      <w:szCs w:val="21"/>
    </w:rPr>
  </w:style>
  <w:style w:type="paragraph" w:styleId="31">
    <w:name w:val="toc 6"/>
    <w:basedOn w:val="1"/>
    <w:next w:val="1"/>
    <w:qFormat/>
    <w:uiPriority w:val="0"/>
    <w:pPr>
      <w:ind w:left="1050"/>
      <w:jc w:val="left"/>
    </w:pPr>
    <w:rPr>
      <w:szCs w:val="21"/>
    </w:rPr>
  </w:style>
  <w:style w:type="paragraph" w:styleId="32">
    <w:name w:val="Body Text Indent 3"/>
    <w:basedOn w:val="1"/>
    <w:qFormat/>
    <w:uiPriority w:val="0"/>
    <w:pPr>
      <w:spacing w:line="360" w:lineRule="auto"/>
      <w:ind w:firstLine="200" w:firstLineChars="200"/>
    </w:pPr>
    <w:rPr>
      <w:rFonts w:ascii="宋体"/>
      <w:b/>
      <w:bCs/>
      <w:sz w:val="24"/>
    </w:rPr>
  </w:style>
  <w:style w:type="paragraph" w:styleId="33">
    <w:name w:val="toc 2"/>
    <w:basedOn w:val="1"/>
    <w:next w:val="1"/>
    <w:qFormat/>
    <w:uiPriority w:val="0"/>
    <w:pPr>
      <w:tabs>
        <w:tab w:val="right" w:leader="dot" w:pos="8296"/>
      </w:tabs>
      <w:ind w:left="210"/>
      <w:jc w:val="left"/>
    </w:pPr>
    <w:rPr>
      <w:smallCaps/>
    </w:rPr>
  </w:style>
  <w:style w:type="paragraph" w:styleId="34">
    <w:name w:val="toc 9"/>
    <w:basedOn w:val="1"/>
    <w:next w:val="1"/>
    <w:qFormat/>
    <w:uiPriority w:val="0"/>
    <w:pPr>
      <w:ind w:left="1680"/>
      <w:jc w:val="left"/>
    </w:pPr>
    <w:rPr>
      <w:szCs w:val="21"/>
    </w:rPr>
  </w:style>
  <w:style w:type="paragraph" w:styleId="35">
    <w:name w:val="Body Text 2"/>
    <w:basedOn w:val="1"/>
    <w:qFormat/>
    <w:uiPriority w:val="0"/>
    <w:pPr>
      <w:spacing w:line="360" w:lineRule="auto"/>
    </w:pPr>
    <w:rPr>
      <w:sz w:val="24"/>
    </w:rPr>
  </w:style>
  <w:style w:type="paragraph" w:styleId="3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color w:val="000000"/>
      <w:kern w:val="0"/>
      <w:sz w:val="20"/>
      <w:szCs w:val="20"/>
    </w:rPr>
  </w:style>
  <w:style w:type="paragraph" w:styleId="37">
    <w:name w:val="Normal (Web)"/>
    <w:basedOn w:val="1"/>
    <w:qFormat/>
    <w:uiPriority w:val="0"/>
    <w:rPr>
      <w:sz w:val="24"/>
    </w:rPr>
  </w:style>
  <w:style w:type="paragraph" w:styleId="38">
    <w:name w:val="index 1"/>
    <w:basedOn w:val="1"/>
    <w:next w:val="1"/>
    <w:qFormat/>
    <w:uiPriority w:val="0"/>
    <w:pPr>
      <w:tabs>
        <w:tab w:val="left" w:pos="3360"/>
      </w:tabs>
      <w:spacing w:line="520" w:lineRule="exact"/>
      <w:ind w:left="181" w:leftChars="50" w:hanging="131" w:hangingChars="131"/>
      <w:jc w:val="center"/>
      <w:outlineLvl w:val="3"/>
    </w:pPr>
    <w:rPr>
      <w:rFonts w:ascii="宋体"/>
      <w:sz w:val="24"/>
    </w:rPr>
  </w:style>
  <w:style w:type="paragraph" w:styleId="39">
    <w:name w:val="Title"/>
    <w:basedOn w:val="1"/>
    <w:qFormat/>
    <w:uiPriority w:val="0"/>
    <w:pPr>
      <w:spacing w:before="240" w:after="60"/>
      <w:jc w:val="center"/>
      <w:outlineLvl w:val="0"/>
    </w:pPr>
    <w:rPr>
      <w:rFonts w:ascii="Arial" w:hAnsi="Arial" w:eastAsia="隶书" w:cs="Arial"/>
      <w:b/>
      <w:bCs/>
      <w:sz w:val="32"/>
      <w:szCs w:val="32"/>
    </w:rPr>
  </w:style>
  <w:style w:type="paragraph" w:styleId="40">
    <w:name w:val="annotation subject"/>
    <w:basedOn w:val="16"/>
    <w:next w:val="16"/>
    <w:qFormat/>
    <w:uiPriority w:val="0"/>
    <w:pPr>
      <w:autoSpaceDE/>
      <w:autoSpaceDN/>
      <w:adjustRightInd/>
      <w:textAlignment w:val="auto"/>
    </w:pPr>
    <w:rPr>
      <w:rFonts w:ascii="Times New Roman" w:hAnsi="Times New Roman"/>
      <w:b/>
      <w:bCs/>
      <w:kern w:val="2"/>
      <w:sz w:val="21"/>
      <w:szCs w:val="24"/>
    </w:rPr>
  </w:style>
  <w:style w:type="paragraph" w:styleId="41">
    <w:name w:val="Body Text First Indent"/>
    <w:basedOn w:val="18"/>
    <w:qFormat/>
    <w:uiPriority w:val="0"/>
    <w:pPr>
      <w:spacing w:after="120" w:line="240" w:lineRule="auto"/>
      <w:ind w:firstLine="100" w:firstLineChars="100"/>
    </w:pPr>
    <w:rPr>
      <w:sz w:val="21"/>
    </w:rPr>
  </w:style>
  <w:style w:type="character" w:styleId="44">
    <w:name w:val="Strong"/>
    <w:basedOn w:val="43"/>
    <w:qFormat/>
    <w:uiPriority w:val="0"/>
    <w:rPr>
      <w:b/>
      <w:bCs/>
    </w:rPr>
  </w:style>
  <w:style w:type="character" w:styleId="45">
    <w:name w:val="page number"/>
    <w:basedOn w:val="43"/>
    <w:qFormat/>
    <w:uiPriority w:val="0"/>
  </w:style>
  <w:style w:type="character" w:styleId="46">
    <w:name w:val="FollowedHyperlink"/>
    <w:basedOn w:val="43"/>
    <w:qFormat/>
    <w:uiPriority w:val="0"/>
    <w:rPr>
      <w:color w:val="5C5C5C"/>
      <w:u w:val="none"/>
    </w:rPr>
  </w:style>
  <w:style w:type="character" w:styleId="47">
    <w:name w:val="Emphasis"/>
    <w:basedOn w:val="43"/>
    <w:qFormat/>
    <w:uiPriority w:val="0"/>
    <w:rPr>
      <w:b/>
      <w:bCs/>
    </w:rPr>
  </w:style>
  <w:style w:type="character" w:styleId="48">
    <w:name w:val="HTML Definition"/>
    <w:basedOn w:val="43"/>
    <w:qFormat/>
    <w:uiPriority w:val="0"/>
  </w:style>
  <w:style w:type="character" w:styleId="49">
    <w:name w:val="HTML Typewriter"/>
    <w:basedOn w:val="43"/>
    <w:qFormat/>
    <w:uiPriority w:val="0"/>
    <w:rPr>
      <w:rFonts w:ascii="monospace" w:hAnsi="monospace" w:eastAsia="monospace" w:cs="monospace"/>
      <w:sz w:val="20"/>
    </w:rPr>
  </w:style>
  <w:style w:type="character" w:styleId="50">
    <w:name w:val="HTML Acronym"/>
    <w:basedOn w:val="43"/>
    <w:qFormat/>
    <w:uiPriority w:val="0"/>
  </w:style>
  <w:style w:type="character" w:styleId="51">
    <w:name w:val="HTML Variable"/>
    <w:basedOn w:val="43"/>
    <w:qFormat/>
    <w:uiPriority w:val="0"/>
  </w:style>
  <w:style w:type="character" w:styleId="52">
    <w:name w:val="Hyperlink"/>
    <w:basedOn w:val="43"/>
    <w:qFormat/>
    <w:uiPriority w:val="0"/>
    <w:rPr>
      <w:color w:val="5C5C5C"/>
      <w:u w:val="none"/>
    </w:rPr>
  </w:style>
  <w:style w:type="character" w:styleId="53">
    <w:name w:val="HTML Code"/>
    <w:basedOn w:val="43"/>
    <w:qFormat/>
    <w:uiPriority w:val="0"/>
    <w:rPr>
      <w:rFonts w:ascii="monospace" w:hAnsi="monospace" w:eastAsia="monospace" w:cs="monospace"/>
      <w:sz w:val="20"/>
    </w:rPr>
  </w:style>
  <w:style w:type="character" w:styleId="54">
    <w:name w:val="annotation reference"/>
    <w:basedOn w:val="43"/>
    <w:qFormat/>
    <w:uiPriority w:val="0"/>
    <w:rPr>
      <w:sz w:val="21"/>
      <w:szCs w:val="21"/>
    </w:rPr>
  </w:style>
  <w:style w:type="character" w:styleId="55">
    <w:name w:val="HTML Cite"/>
    <w:basedOn w:val="43"/>
    <w:qFormat/>
    <w:uiPriority w:val="0"/>
    <w:rPr>
      <w:color w:val="5C5C5C"/>
      <w:sz w:val="18"/>
      <w:szCs w:val="18"/>
      <w:bdr w:val="single" w:color="EBEBEB" w:sz="6" w:space="0"/>
      <w:shd w:val="clear" w:color="auto" w:fill="FFFFFF"/>
    </w:rPr>
  </w:style>
  <w:style w:type="character" w:styleId="56">
    <w:name w:val="HTML Keyboard"/>
    <w:basedOn w:val="43"/>
    <w:qFormat/>
    <w:uiPriority w:val="0"/>
    <w:rPr>
      <w:rFonts w:ascii="monospace" w:hAnsi="monospace" w:eastAsia="monospace" w:cs="monospace"/>
      <w:sz w:val="20"/>
    </w:rPr>
  </w:style>
  <w:style w:type="character" w:styleId="57">
    <w:name w:val="HTML Sample"/>
    <w:basedOn w:val="43"/>
    <w:qFormat/>
    <w:uiPriority w:val="0"/>
    <w:rPr>
      <w:rFonts w:ascii="monospace" w:hAnsi="monospace" w:eastAsia="monospace" w:cs="monospace"/>
    </w:rPr>
  </w:style>
  <w:style w:type="paragraph" w:customStyle="1" w:styleId="58">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59">
    <w:name w:val="标题 3 Char"/>
    <w:qFormat/>
    <w:uiPriority w:val="0"/>
    <w:rPr>
      <w:rFonts w:ascii="黑体" w:eastAsia="黑体"/>
      <w:bCs/>
      <w:sz w:val="30"/>
    </w:rPr>
  </w:style>
  <w:style w:type="paragraph" w:customStyle="1" w:styleId="60">
    <w:name w:val="样式41"/>
    <w:basedOn w:val="1"/>
    <w:qFormat/>
    <w:uiPriority w:val="0"/>
    <w:pPr>
      <w:numPr>
        <w:ilvl w:val="0"/>
        <w:numId w:val="2"/>
      </w:numPr>
      <w:tabs>
        <w:tab w:val="left" w:pos="945"/>
      </w:tabs>
      <w:spacing w:line="360" w:lineRule="auto"/>
    </w:pPr>
    <w:rPr>
      <w:b/>
      <w:color w:val="000000"/>
      <w:sz w:val="24"/>
      <w:szCs w:val="20"/>
    </w:rPr>
  </w:style>
  <w:style w:type="paragraph" w:customStyle="1" w:styleId="61">
    <w:name w:val="图"/>
    <w:basedOn w:val="1"/>
    <w:qFormat/>
    <w:uiPriority w:val="0"/>
    <w:pPr>
      <w:keepNext/>
      <w:widowControl w:val="0"/>
      <w:adjustRightInd w:val="0"/>
      <w:snapToGrid w:val="0"/>
      <w:spacing w:before="60" w:after="60" w:line="300" w:lineRule="auto"/>
      <w:jc w:val="center"/>
    </w:pPr>
    <w:rPr>
      <w:spacing w:val="20"/>
      <w:kern w:val="0"/>
      <w:sz w:val="24"/>
      <w:szCs w:val="20"/>
    </w:rPr>
  </w:style>
  <w:style w:type="paragraph" w:customStyle="1" w:styleId="62">
    <w:name w:val="文档正文"/>
    <w:basedOn w:val="1"/>
    <w:qFormat/>
    <w:uiPriority w:val="0"/>
    <w:pPr>
      <w:adjustRightInd w:val="0"/>
      <w:spacing w:line="480" w:lineRule="atLeast"/>
      <w:ind w:firstLine="200" w:firstLineChars="200"/>
      <w:textAlignment w:val="baseline"/>
    </w:pPr>
    <w:rPr>
      <w:rFonts w:ascii="长城仿宋" w:hAnsi="长城仿宋"/>
      <w:kern w:val="0"/>
      <w:szCs w:val="20"/>
    </w:rPr>
  </w:style>
  <w:style w:type="paragraph" w:customStyle="1" w:styleId="6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4">
    <w:name w:val="Char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5">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6">
    <w:name w:val="Table Contents"/>
    <w:basedOn w:val="1"/>
    <w:qFormat/>
    <w:uiPriority w:val="0"/>
    <w:pPr>
      <w:widowControl w:val="0"/>
      <w:suppressAutoHyphens/>
      <w:autoSpaceDE w:val="0"/>
      <w:spacing w:after="120"/>
      <w:jc w:val="left"/>
    </w:pPr>
    <w:rPr>
      <w:rFonts w:ascii="Helvetica" w:hAnsi="Helvetica"/>
      <w:kern w:val="2"/>
      <w:sz w:val="20"/>
      <w:szCs w:val="20"/>
    </w:rPr>
  </w:style>
  <w:style w:type="paragraph" w:customStyle="1" w:styleId="67">
    <w:name w:val="自定义正文"/>
    <w:basedOn w:val="1"/>
    <w:qFormat/>
    <w:uiPriority w:val="0"/>
    <w:pPr>
      <w:spacing w:after="50" w:afterLines="50"/>
      <w:ind w:left="600" w:leftChars="600"/>
    </w:pPr>
  </w:style>
  <w:style w:type="paragraph" w:customStyle="1" w:styleId="68">
    <w:name w:val="Char Char Char Char Char"/>
    <w:basedOn w:val="1"/>
    <w:qFormat/>
    <w:uiPriority w:val="0"/>
    <w:rPr>
      <w:rFonts w:ascii="Tahoma" w:hAnsi="Tahoma"/>
      <w:sz w:val="24"/>
      <w:szCs w:val="20"/>
    </w:rPr>
  </w:style>
  <w:style w:type="paragraph" w:customStyle="1" w:styleId="69">
    <w:name w:val="小标题 1"/>
    <w:basedOn w:val="1"/>
    <w:qFormat/>
    <w:uiPriority w:val="0"/>
    <w:pPr>
      <w:autoSpaceDE w:val="0"/>
      <w:autoSpaceDN w:val="0"/>
      <w:adjustRightInd w:val="0"/>
      <w:spacing w:line="360" w:lineRule="atLeast"/>
    </w:pPr>
    <w:rPr>
      <w:rFonts w:ascii="文鼎粗黑" w:eastAsia="文鼎粗黑"/>
      <w:kern w:val="0"/>
      <w:sz w:val="22"/>
      <w:szCs w:val="20"/>
    </w:rPr>
  </w:style>
  <w:style w:type="paragraph" w:customStyle="1" w:styleId="70">
    <w:name w:val="Char Char"/>
    <w:basedOn w:val="1"/>
    <w:qFormat/>
    <w:uiPriority w:val="0"/>
    <w:rPr>
      <w:rFonts w:ascii="Tahoma" w:hAnsi="Tahoma"/>
      <w:sz w:val="24"/>
      <w:szCs w:val="20"/>
    </w:rPr>
  </w:style>
  <w:style w:type="paragraph" w:customStyle="1" w:styleId="71">
    <w:name w:val="È±Ê¡ÎÄ±¾"/>
    <w:basedOn w:val="1"/>
    <w:qFormat/>
    <w:uiPriority w:val="0"/>
    <w:pPr>
      <w:widowControl/>
      <w:overflowPunct w:val="0"/>
      <w:autoSpaceDE w:val="0"/>
      <w:autoSpaceDN w:val="0"/>
      <w:adjustRightInd w:val="0"/>
      <w:jc w:val="left"/>
      <w:textAlignment w:val="baseline"/>
    </w:pPr>
    <w:rPr>
      <w:kern w:val="0"/>
      <w:sz w:val="24"/>
      <w:szCs w:val="20"/>
    </w:rPr>
  </w:style>
  <w:style w:type="paragraph" w:customStyle="1" w:styleId="72">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73">
    <w:name w:val="List Paragraph"/>
    <w:basedOn w:val="1"/>
    <w:qFormat/>
    <w:uiPriority w:val="0"/>
    <w:pPr>
      <w:ind w:firstLine="200" w:firstLineChars="200"/>
    </w:pPr>
    <w:rPr>
      <w:rFonts w:ascii="Calibri" w:hAnsi="Calibri"/>
      <w:szCs w:val="22"/>
    </w:rPr>
  </w:style>
  <w:style w:type="paragraph" w:customStyle="1" w:styleId="74">
    <w:name w:val="USE 1"/>
    <w:basedOn w:val="1"/>
    <w:qFormat/>
    <w:uiPriority w:val="0"/>
    <w:pPr>
      <w:spacing w:line="200" w:lineRule="atLeast"/>
      <w:jc w:val="left"/>
    </w:pPr>
    <w:rPr>
      <w:rFonts w:ascii="宋体"/>
      <w:b/>
      <w:sz w:val="24"/>
      <w:szCs w:val="28"/>
    </w:rPr>
  </w:style>
  <w:style w:type="paragraph" w:customStyle="1" w:styleId="75">
    <w:name w:val="RFI text from 3rd Level"/>
    <w:basedOn w:val="1"/>
    <w:qFormat/>
    <w:uiPriority w:val="0"/>
    <w:pPr>
      <w:widowControl/>
      <w:numPr>
        <w:ilvl w:val="0"/>
        <w:numId w:val="3"/>
      </w:numPr>
      <w:tabs>
        <w:tab w:val="left" w:pos="1080"/>
      </w:tabs>
      <w:spacing w:before="50" w:beforeLines="50" w:line="360" w:lineRule="auto"/>
      <w:ind w:left="0" w:firstLine="0"/>
    </w:pPr>
    <w:rPr>
      <w:rFonts w:ascii="Arial (W1)" w:hAnsi="Arial (W1)"/>
      <w:bCs/>
      <w:kern w:val="0"/>
      <w:sz w:val="24"/>
      <w:lang w:val="en-GB"/>
    </w:rPr>
  </w:style>
  <w:style w:type="paragraph" w:customStyle="1" w:styleId="76">
    <w:name w:val="正文文字缩进项目"/>
    <w:basedOn w:val="19"/>
    <w:qFormat/>
    <w:uiPriority w:val="0"/>
    <w:pPr>
      <w:numPr>
        <w:ilvl w:val="1"/>
        <w:numId w:val="3"/>
      </w:numPr>
      <w:tabs>
        <w:tab w:val="left" w:pos="840"/>
      </w:tabs>
      <w:spacing w:after="120" w:line="240" w:lineRule="auto"/>
      <w:ind w:left="840" w:firstLine="0" w:firstLineChars="0"/>
    </w:pPr>
    <w:rPr>
      <w:rFonts w:ascii="Tahoma" w:hAnsi="Tahoma"/>
      <w:sz w:val="22"/>
      <w:szCs w:val="20"/>
    </w:rPr>
  </w:style>
  <w:style w:type="paragraph" w:customStyle="1" w:styleId="77">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character" w:customStyle="1" w:styleId="78">
    <w:name w:val="H4 Char2"/>
    <w:qFormat/>
    <w:uiPriority w:val="0"/>
    <w:rPr>
      <w:rFonts w:ascii="Arial" w:hAnsi="Arial" w:eastAsia="黑体"/>
      <w:b/>
      <w:bCs/>
      <w:kern w:val="2"/>
      <w:sz w:val="28"/>
      <w:szCs w:val="28"/>
      <w:lang w:val="en-US" w:eastAsia="zh-CN" w:bidi="ar-SA"/>
    </w:rPr>
  </w:style>
  <w:style w:type="character" w:customStyle="1" w:styleId="79">
    <w:name w:val="第*章 Char"/>
    <w:qFormat/>
    <w:uiPriority w:val="0"/>
    <w:rPr>
      <w:rFonts w:ascii="Arial" w:hAnsi="Arial" w:eastAsia="黑体"/>
      <w:b/>
      <w:bCs/>
      <w:kern w:val="2"/>
      <w:sz w:val="32"/>
      <w:szCs w:val="32"/>
    </w:rPr>
  </w:style>
  <w:style w:type="character" w:customStyle="1" w:styleId="80">
    <w:name w:val="章标题1 Char"/>
    <w:qFormat/>
    <w:uiPriority w:val="0"/>
    <w:rPr>
      <w:rFonts w:eastAsia="宋体"/>
      <w:b/>
      <w:bCs/>
      <w:kern w:val="2"/>
      <w:sz w:val="32"/>
      <w:szCs w:val="32"/>
      <w:lang w:val="en-US" w:eastAsia="zh-CN" w:bidi="ar-SA"/>
    </w:rPr>
  </w:style>
  <w:style w:type="character" w:customStyle="1" w:styleId="81">
    <w:name w:val="正文文字首行缩进 Char"/>
    <w:qFormat/>
    <w:uiPriority w:val="0"/>
    <w:rPr>
      <w:kern w:val="2"/>
      <w:sz w:val="21"/>
      <w:szCs w:val="24"/>
    </w:rPr>
  </w:style>
  <w:style w:type="paragraph" w:customStyle="1" w:styleId="82">
    <w:name w:val="样式1"/>
    <w:basedOn w:val="39"/>
    <w:qFormat/>
    <w:uiPriority w:val="0"/>
    <w:pPr>
      <w:spacing w:before="120" w:after="120"/>
    </w:pPr>
    <w:rPr>
      <w:rFonts w:eastAsia="黑体"/>
      <w:b w:val="0"/>
      <w:sz w:val="30"/>
      <w:szCs w:val="21"/>
    </w:rPr>
  </w:style>
  <w:style w:type="paragraph" w:customStyle="1" w:styleId="83">
    <w:name w:val="样式2"/>
    <w:basedOn w:val="39"/>
    <w:next w:val="82"/>
    <w:qFormat/>
    <w:uiPriority w:val="0"/>
    <w:pPr>
      <w:spacing w:before="120" w:after="120"/>
    </w:pPr>
    <w:rPr>
      <w:rFonts w:eastAsia="黑体"/>
      <w:b w:val="0"/>
      <w:sz w:val="30"/>
      <w:szCs w:val="30"/>
    </w:rPr>
  </w:style>
  <w:style w:type="character" w:customStyle="1" w:styleId="84">
    <w:name w:val="标题 3 Char Char"/>
    <w:qFormat/>
    <w:uiPriority w:val="0"/>
    <w:rPr>
      <w:rFonts w:eastAsia="宋体"/>
      <w:b/>
      <w:bCs/>
      <w:kern w:val="2"/>
      <w:sz w:val="32"/>
      <w:szCs w:val="32"/>
      <w:lang w:val="en-US" w:eastAsia="zh-CN" w:bidi="ar-SA"/>
    </w:rPr>
  </w:style>
  <w:style w:type="paragraph" w:customStyle="1" w:styleId="85">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86">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87">
    <w:name w:val="--规划正文"/>
    <w:basedOn w:val="1"/>
    <w:qFormat/>
    <w:uiPriority w:val="0"/>
    <w:pPr>
      <w:spacing w:line="360" w:lineRule="auto"/>
      <w:ind w:firstLine="200" w:firstLineChars="200"/>
    </w:pPr>
    <w:rPr>
      <w:szCs w:val="20"/>
    </w:rPr>
  </w:style>
  <w:style w:type="paragraph" w:customStyle="1" w:styleId="88">
    <w:name w:val="设计依据"/>
    <w:basedOn w:val="18"/>
    <w:qFormat/>
    <w:uiPriority w:val="0"/>
    <w:pPr>
      <w:numPr>
        <w:ilvl w:val="1"/>
        <w:numId w:val="4"/>
      </w:numPr>
      <w:tabs>
        <w:tab w:val="left" w:pos="1440"/>
      </w:tabs>
      <w:adjustRightInd w:val="0"/>
      <w:ind w:left="1440"/>
      <w:textAlignment w:val="baseline"/>
    </w:pPr>
    <w:rPr>
      <w:rFonts w:ascii="宋体"/>
      <w:b w:val="0"/>
      <w:kern w:val="0"/>
      <w:sz w:val="28"/>
      <w:szCs w:val="18"/>
    </w:rPr>
  </w:style>
  <w:style w:type="paragraph" w:customStyle="1" w:styleId="89">
    <w:name w:val="方案要点"/>
    <w:basedOn w:val="1"/>
    <w:qFormat/>
    <w:uiPriority w:val="0"/>
    <w:pPr>
      <w:numPr>
        <w:ilvl w:val="0"/>
        <w:numId w:val="4"/>
      </w:numPr>
      <w:spacing w:line="360" w:lineRule="auto"/>
    </w:pPr>
    <w:rPr>
      <w:rFonts w:ascii="仿宋_GB2312" w:eastAsia="仿宋_GB2312"/>
      <w:color w:val="000000"/>
      <w:sz w:val="28"/>
      <w:szCs w:val="28"/>
    </w:rPr>
  </w:style>
  <w:style w:type="paragraph" w:customStyle="1" w:styleId="90">
    <w:name w:val="样式4"/>
    <w:basedOn w:val="1"/>
    <w:qFormat/>
    <w:uiPriority w:val="0"/>
    <w:pPr>
      <w:tabs>
        <w:tab w:val="left" w:pos="842"/>
      </w:tabs>
      <w:spacing w:line="360" w:lineRule="auto"/>
      <w:ind w:left="841" w:hanging="420"/>
    </w:pPr>
    <w:rPr>
      <w:sz w:val="24"/>
    </w:rPr>
  </w:style>
  <w:style w:type="paragraph" w:customStyle="1" w:styleId="91">
    <w:name w:val="文字"/>
    <w:basedOn w:val="1"/>
    <w:qFormat/>
    <w:uiPriority w:val="0"/>
    <w:pPr>
      <w:tabs>
        <w:tab w:val="left" w:pos="8520"/>
      </w:tabs>
      <w:spacing w:line="312" w:lineRule="auto"/>
      <w:ind w:right="-210" w:firstLine="556"/>
    </w:pPr>
    <w:rPr>
      <w:rFonts w:ascii="宋体"/>
      <w:sz w:val="28"/>
      <w:szCs w:val="20"/>
    </w:rPr>
  </w:style>
  <w:style w:type="paragraph" w:customStyle="1" w:styleId="92">
    <w:name w:val="--规划-表格-居左"/>
    <w:basedOn w:val="87"/>
    <w:qFormat/>
    <w:uiPriority w:val="0"/>
    <w:pPr>
      <w:spacing w:line="240" w:lineRule="auto"/>
      <w:ind w:firstLine="0" w:firstLineChars="0"/>
    </w:pPr>
    <w:rPr>
      <w:sz w:val="20"/>
    </w:rPr>
  </w:style>
  <w:style w:type="paragraph" w:customStyle="1" w:styleId="93">
    <w:name w:val="--规划-表格-居中"/>
    <w:basedOn w:val="87"/>
    <w:qFormat/>
    <w:uiPriority w:val="0"/>
    <w:pPr>
      <w:spacing w:line="240" w:lineRule="auto"/>
      <w:ind w:firstLine="0" w:firstLineChars="0"/>
      <w:jc w:val="center"/>
    </w:pPr>
    <w:rPr>
      <w:sz w:val="20"/>
    </w:rPr>
  </w:style>
  <w:style w:type="paragraph" w:customStyle="1" w:styleId="94">
    <w:name w:val="--编号内缩进"/>
    <w:basedOn w:val="1"/>
    <w:qFormat/>
    <w:uiPriority w:val="0"/>
    <w:pPr>
      <w:spacing w:line="360" w:lineRule="auto"/>
      <w:ind w:left="420" w:firstLine="200" w:firstLineChars="200"/>
    </w:pPr>
    <w:rPr>
      <w:szCs w:val="21"/>
    </w:rPr>
  </w:style>
  <w:style w:type="paragraph" w:customStyle="1" w:styleId="95">
    <w:name w:val="--规划-题注"/>
    <w:basedOn w:val="1"/>
    <w:next w:val="87"/>
    <w:qFormat/>
    <w:uiPriority w:val="0"/>
    <w:pPr>
      <w:spacing w:line="360" w:lineRule="auto"/>
      <w:jc w:val="center"/>
    </w:pPr>
    <w:rPr>
      <w:rFonts w:eastAsia="黑体"/>
    </w:rPr>
  </w:style>
  <w:style w:type="paragraph" w:customStyle="1" w:styleId="96">
    <w:name w:val="--规划-图和表"/>
    <w:next w:val="87"/>
    <w:qFormat/>
    <w:uiPriority w:val="0"/>
    <w:pPr>
      <w:jc w:val="center"/>
    </w:pPr>
    <w:rPr>
      <w:rFonts w:ascii="Times New Roman" w:hAnsi="Times New Roman" w:eastAsia="宋体" w:cs="Times New Roman"/>
      <w:kern w:val="2"/>
      <w:sz w:val="21"/>
      <w:lang w:val="en-US" w:eastAsia="zh-CN" w:bidi="ar-SA"/>
    </w:rPr>
  </w:style>
  <w:style w:type="paragraph" w:customStyle="1" w:styleId="97">
    <w:name w:val="--规划-小标题"/>
    <w:basedOn w:val="1"/>
    <w:next w:val="87"/>
    <w:qFormat/>
    <w:uiPriority w:val="0"/>
    <w:pPr>
      <w:keepNext/>
      <w:keepLines/>
      <w:widowControl w:val="0"/>
      <w:spacing w:line="360" w:lineRule="auto"/>
      <w:outlineLvl w:val="4"/>
    </w:pPr>
    <w:rPr>
      <w:rFonts w:eastAsia="黑体"/>
    </w:rPr>
  </w:style>
  <w:style w:type="paragraph" w:customStyle="1" w:styleId="98">
    <w:name w:val="--规划正文 Char"/>
    <w:basedOn w:val="1"/>
    <w:qFormat/>
    <w:uiPriority w:val="0"/>
    <w:pPr>
      <w:spacing w:line="360" w:lineRule="auto"/>
      <w:ind w:firstLine="200" w:firstLineChars="200"/>
    </w:pPr>
    <w:rPr>
      <w:sz w:val="24"/>
    </w:rPr>
  </w:style>
  <w:style w:type="paragraph" w:customStyle="1" w:styleId="99">
    <w:name w:val="缺省文本"/>
    <w:basedOn w:val="1"/>
    <w:qFormat/>
    <w:uiPriority w:val="0"/>
    <w:pPr>
      <w:autoSpaceDE w:val="0"/>
      <w:autoSpaceDN w:val="0"/>
      <w:adjustRightInd w:val="0"/>
      <w:jc w:val="left"/>
    </w:pPr>
    <w:rPr>
      <w:kern w:val="0"/>
    </w:rPr>
  </w:style>
  <w:style w:type="paragraph" w:customStyle="1" w:styleId="100">
    <w:name w:val="封面文档标题"/>
    <w:basedOn w:val="1"/>
    <w:qFormat/>
    <w:uiPriority w:val="0"/>
    <w:pPr>
      <w:autoSpaceDE w:val="0"/>
      <w:autoSpaceDN w:val="0"/>
      <w:adjustRightInd w:val="0"/>
      <w:spacing w:line="360" w:lineRule="auto"/>
      <w:jc w:val="center"/>
    </w:pPr>
    <w:rPr>
      <w:rFonts w:ascii="Arial" w:hAnsi="Arial"/>
      <w:b/>
      <w:kern w:val="0"/>
      <w:sz w:val="56"/>
    </w:rPr>
  </w:style>
  <w:style w:type="character" w:customStyle="1" w:styleId="101">
    <w:name w:val="--规划正文 Char Char"/>
    <w:qFormat/>
    <w:uiPriority w:val="0"/>
    <w:rPr>
      <w:rFonts w:eastAsia="宋体"/>
      <w:kern w:val="2"/>
      <w:sz w:val="24"/>
      <w:szCs w:val="24"/>
      <w:lang w:val="en-US" w:eastAsia="zh-CN" w:bidi="ar-SA"/>
    </w:rPr>
  </w:style>
  <w:style w:type="paragraph" w:customStyle="1" w:styleId="102">
    <w:name w:val="样式3"/>
    <w:basedOn w:val="2"/>
    <w:qFormat/>
    <w:uiPriority w:val="0"/>
    <w:pPr>
      <w:numPr>
        <w:ilvl w:val="0"/>
        <w:numId w:val="5"/>
      </w:numPr>
      <w:spacing w:before="240" w:after="240" w:line="480" w:lineRule="auto"/>
      <w:ind w:right="100" w:rightChars="100"/>
      <w:jc w:val="left"/>
    </w:pPr>
    <w:rPr>
      <w:rFonts w:ascii="Times New Roman" w:hAnsi="Times New Roman"/>
      <w:sz w:val="32"/>
    </w:rPr>
  </w:style>
  <w:style w:type="character" w:customStyle="1" w:styleId="103">
    <w:name w:val="--规划正文 Char1"/>
    <w:qFormat/>
    <w:uiPriority w:val="0"/>
    <w:rPr>
      <w:rFonts w:eastAsia="宋体"/>
      <w:kern w:val="2"/>
      <w:sz w:val="21"/>
      <w:lang w:val="en-US" w:eastAsia="zh-CN" w:bidi="ar-SA"/>
    </w:rPr>
  </w:style>
  <w:style w:type="paragraph" w:customStyle="1" w:styleId="104">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05">
    <w:name w:val="列表项目"/>
    <w:basedOn w:val="1"/>
    <w:qFormat/>
    <w:uiPriority w:val="0"/>
    <w:pPr>
      <w:tabs>
        <w:tab w:val="left" w:pos="420"/>
        <w:tab w:val="left" w:pos="1080"/>
      </w:tabs>
      <w:spacing w:line="288" w:lineRule="auto"/>
      <w:ind w:left="1080" w:hanging="360"/>
    </w:pPr>
    <w:rPr>
      <w:sz w:val="24"/>
      <w:szCs w:val="20"/>
    </w:rPr>
  </w:style>
  <w:style w:type="character" w:customStyle="1" w:styleId="106">
    <w:name w:val="content1"/>
    <w:qFormat/>
    <w:uiPriority w:val="0"/>
    <w:rPr>
      <w:rFonts w:ascii="??" w:hAnsi="??"/>
      <w:sz w:val="16"/>
      <w:szCs w:val="16"/>
      <w:u w:val="none"/>
    </w:rPr>
  </w:style>
  <w:style w:type="character" w:customStyle="1" w:styleId="107">
    <w:name w:val="unnamed4"/>
    <w:basedOn w:val="43"/>
    <w:qFormat/>
    <w:uiPriority w:val="0"/>
  </w:style>
  <w:style w:type="character" w:customStyle="1" w:styleId="108">
    <w:name w:val="font2"/>
    <w:basedOn w:val="43"/>
    <w:qFormat/>
    <w:uiPriority w:val="0"/>
  </w:style>
  <w:style w:type="character" w:customStyle="1" w:styleId="109">
    <w:name w:val="font41"/>
    <w:qFormat/>
    <w:uiPriority w:val="0"/>
    <w:rPr>
      <w:color w:val="000000"/>
      <w:spacing w:val="260"/>
      <w:sz w:val="18"/>
      <w:szCs w:val="18"/>
      <w:u w:val="none"/>
    </w:rPr>
  </w:style>
  <w:style w:type="paragraph" w:customStyle="1" w:styleId="110">
    <w:name w:val="正文(首行缩进)"/>
    <w:qFormat/>
    <w:uiPriority w:val="0"/>
    <w:pPr>
      <w:spacing w:line="360" w:lineRule="auto"/>
      <w:ind w:firstLine="200" w:firstLineChars="200"/>
      <w:jc w:val="both"/>
    </w:pPr>
    <w:rPr>
      <w:rFonts w:ascii="Times New Roman" w:hAnsi="Times New Roman" w:eastAsia="仿宋_GB2312" w:cs="Times New Roman"/>
      <w:spacing w:val="2"/>
      <w:sz w:val="24"/>
      <w:szCs w:val="24"/>
      <w:lang w:val="en-US" w:eastAsia="zh-CN" w:bidi="ar-SA"/>
    </w:rPr>
  </w:style>
  <w:style w:type="paragraph" w:customStyle="1" w:styleId="111">
    <w:name w:val="xl72"/>
    <w:basedOn w:val="1"/>
    <w:qFormat/>
    <w:uiPriority w:val="0"/>
    <w:pPr>
      <w:widowControl/>
      <w:spacing w:before="100" w:beforeAutospacing="1" w:after="100" w:afterAutospacing="1"/>
      <w:jc w:val="left"/>
    </w:pPr>
    <w:rPr>
      <w:rFonts w:ascii="宋体"/>
      <w:b/>
      <w:bCs/>
      <w:kern w:val="0"/>
      <w:sz w:val="28"/>
      <w:szCs w:val="28"/>
    </w:rPr>
  </w:style>
  <w:style w:type="paragraph" w:customStyle="1" w:styleId="112">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13">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14">
    <w:name w:val="汉仪细等线简9BOLD"/>
    <w:basedOn w:val="1"/>
    <w:qFormat/>
    <w:uiPriority w:val="0"/>
    <w:pPr>
      <w:autoSpaceDE w:val="0"/>
      <w:autoSpaceDN w:val="0"/>
      <w:adjustRightInd w:val="0"/>
      <w:spacing w:line="240" w:lineRule="atLeast"/>
    </w:pPr>
    <w:rPr>
      <w:rFonts w:ascii="汉仪细等线简" w:eastAsia="汉仪细等线简"/>
      <w:b/>
      <w:bCs/>
      <w:kern w:val="0"/>
      <w:sz w:val="18"/>
      <w:szCs w:val="18"/>
    </w:rPr>
  </w:style>
  <w:style w:type="character" w:customStyle="1" w:styleId="115">
    <w:name w:val="mode"/>
    <w:basedOn w:val="43"/>
    <w:qFormat/>
    <w:uiPriority w:val="0"/>
  </w:style>
  <w:style w:type="paragraph" w:customStyle="1" w:styleId="116">
    <w:name w:val="9"/>
    <w:basedOn w:val="1"/>
    <w:next w:val="7"/>
    <w:qFormat/>
    <w:uiPriority w:val="0"/>
    <w:pPr>
      <w:autoSpaceDE w:val="0"/>
      <w:autoSpaceDN w:val="0"/>
      <w:adjustRightInd w:val="0"/>
      <w:ind w:firstLine="420"/>
      <w:jc w:val="left"/>
      <w:textAlignment w:val="baseline"/>
    </w:pPr>
    <w:rPr>
      <w:rFonts w:ascii="宋体"/>
      <w:kern w:val="0"/>
      <w:sz w:val="34"/>
      <w:szCs w:val="20"/>
    </w:rPr>
  </w:style>
  <w:style w:type="character" w:customStyle="1" w:styleId="117">
    <w:name w:val="unnamed3"/>
    <w:basedOn w:val="43"/>
    <w:qFormat/>
    <w:uiPriority w:val="0"/>
  </w:style>
  <w:style w:type="paragraph" w:customStyle="1" w:styleId="118">
    <w:name w:val="8"/>
    <w:basedOn w:val="1"/>
    <w:next w:val="19"/>
    <w:qFormat/>
    <w:uiPriority w:val="0"/>
    <w:pPr>
      <w:spacing w:after="120"/>
      <w:ind w:left="200" w:leftChars="200"/>
    </w:pPr>
  </w:style>
  <w:style w:type="paragraph" w:customStyle="1" w:styleId="119">
    <w:name w:val="7"/>
    <w:basedOn w:val="1"/>
    <w:qFormat/>
    <w:uiPriority w:val="0"/>
    <w:pPr>
      <w:autoSpaceDE w:val="0"/>
      <w:autoSpaceDN w:val="0"/>
      <w:adjustRightInd w:val="0"/>
      <w:spacing w:line="270" w:lineRule="atLeast"/>
      <w:jc w:val="left"/>
    </w:pPr>
    <w:rPr>
      <w:rFonts w:ascii="宋体"/>
      <w:kern w:val="0"/>
      <w:sz w:val="18"/>
      <w:szCs w:val="18"/>
    </w:rPr>
  </w:style>
  <w:style w:type="paragraph" w:customStyle="1" w:styleId="120">
    <w:name w:val="00"/>
    <w:basedOn w:val="1"/>
    <w:qFormat/>
    <w:uiPriority w:val="0"/>
    <w:pPr>
      <w:autoSpaceDE w:val="0"/>
      <w:autoSpaceDN w:val="0"/>
      <w:adjustRightInd w:val="0"/>
      <w:jc w:val="left"/>
    </w:pPr>
    <w:rPr>
      <w:rFonts w:ascii="黑体" w:eastAsia="黑体"/>
      <w:b/>
      <w:bCs/>
      <w:kern w:val="0"/>
      <w:sz w:val="20"/>
      <w:szCs w:val="20"/>
    </w:rPr>
  </w:style>
  <w:style w:type="paragraph" w:customStyle="1" w:styleId="121">
    <w:name w:val="5"/>
    <w:basedOn w:val="1"/>
    <w:qFormat/>
    <w:uiPriority w:val="0"/>
    <w:pPr>
      <w:autoSpaceDE w:val="0"/>
      <w:autoSpaceDN w:val="0"/>
      <w:adjustRightInd w:val="0"/>
      <w:jc w:val="left"/>
    </w:pPr>
    <w:rPr>
      <w:rFonts w:ascii="宋体"/>
      <w:b/>
      <w:bCs/>
      <w:kern w:val="0"/>
      <w:sz w:val="18"/>
      <w:szCs w:val="18"/>
    </w:rPr>
  </w:style>
  <w:style w:type="paragraph" w:customStyle="1" w:styleId="122">
    <w:name w:val="6"/>
    <w:basedOn w:val="121"/>
    <w:qFormat/>
    <w:uiPriority w:val="0"/>
    <w:pPr>
      <w:spacing w:line="270" w:lineRule="atLeast"/>
      <w:jc w:val="both"/>
    </w:pPr>
    <w:rPr>
      <w:b w:val="0"/>
      <w:bCs w:val="0"/>
    </w:rPr>
  </w:style>
  <w:style w:type="paragraph" w:customStyle="1" w:styleId="123">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24">
    <w:name w:val="姜文清定义的正文"/>
    <w:basedOn w:val="1"/>
    <w:qFormat/>
    <w:uiPriority w:val="0"/>
    <w:pPr>
      <w:spacing w:line="240" w:lineRule="atLeast"/>
      <w:ind w:firstLine="567"/>
    </w:pPr>
    <w:rPr>
      <w:szCs w:val="20"/>
    </w:rPr>
  </w:style>
  <w:style w:type="paragraph" w:customStyle="1" w:styleId="125">
    <w:name w:val="Default"/>
    <w:qFormat/>
    <w:uiPriority w:val="0"/>
    <w:pPr>
      <w:widowControl w:val="0"/>
      <w:autoSpaceDE w:val="0"/>
      <w:autoSpaceDN w:val="0"/>
      <w:adjustRightInd w:val="0"/>
    </w:pPr>
    <w:rPr>
      <w:rFonts w:ascii="H Yb 2gj" w:hAnsi="H Yb 2gj" w:eastAsia="H Yb 2gj" w:cs="H Yb 2gj"/>
      <w:color w:val="000000"/>
      <w:sz w:val="24"/>
      <w:szCs w:val="24"/>
      <w:lang w:val="en-US" w:eastAsia="zh-CN" w:bidi="ar-SA"/>
    </w:rPr>
  </w:style>
  <w:style w:type="paragraph" w:customStyle="1" w:styleId="126">
    <w:name w:val="CM2"/>
    <w:basedOn w:val="125"/>
    <w:next w:val="125"/>
    <w:qFormat/>
    <w:uiPriority w:val="0"/>
    <w:pPr>
      <w:spacing w:line="200" w:lineRule="atLeast"/>
    </w:pPr>
    <w:rPr>
      <w:rFonts w:ascii="Arial" w:hAnsi="Arial" w:eastAsia="宋体" w:cs="Times New Roman"/>
      <w:color w:val="auto"/>
    </w:rPr>
  </w:style>
  <w:style w:type="paragraph" w:customStyle="1" w:styleId="127">
    <w:name w:val="Normal Paragraph"/>
    <w:basedOn w:val="1"/>
    <w:qFormat/>
    <w:uiPriority w:val="0"/>
    <w:pPr>
      <w:widowControl/>
      <w:spacing w:before="120" w:line="360" w:lineRule="auto"/>
      <w:ind w:firstLine="425"/>
    </w:pPr>
    <w:rPr>
      <w:kern w:val="0"/>
      <w:sz w:val="24"/>
    </w:rPr>
  </w:style>
  <w:style w:type="character" w:customStyle="1" w:styleId="128">
    <w:name w:val="blue"/>
    <w:basedOn w:val="43"/>
    <w:qFormat/>
    <w:uiPriority w:val="0"/>
  </w:style>
  <w:style w:type="paragraph" w:customStyle="1" w:styleId="129">
    <w:name w:val="blue1"/>
    <w:basedOn w:val="1"/>
    <w:qFormat/>
    <w:uiPriority w:val="0"/>
    <w:pPr>
      <w:widowControl/>
      <w:spacing w:before="100" w:beforeAutospacing="1" w:after="100" w:afterAutospacing="1"/>
      <w:jc w:val="left"/>
    </w:pPr>
    <w:rPr>
      <w:rFonts w:ascii="宋体" w:cs="宋体"/>
      <w:kern w:val="0"/>
      <w:sz w:val="24"/>
    </w:rPr>
  </w:style>
  <w:style w:type="character" w:customStyle="1" w:styleId="130">
    <w:name w:val="font"/>
    <w:basedOn w:val="43"/>
    <w:qFormat/>
    <w:uiPriority w:val="0"/>
  </w:style>
  <w:style w:type="character" w:customStyle="1" w:styleId="131">
    <w:name w:val="font11"/>
    <w:qFormat/>
    <w:uiPriority w:val="0"/>
    <w:rPr>
      <w:rFonts w:ascii="ˎ̥" w:hAnsi="ˎ̥"/>
    </w:rPr>
  </w:style>
  <w:style w:type="paragraph" w:customStyle="1" w:styleId="132">
    <w:name w:val="a14"/>
    <w:basedOn w:val="1"/>
    <w:qFormat/>
    <w:uiPriority w:val="0"/>
    <w:pPr>
      <w:widowControl/>
      <w:spacing w:before="100" w:beforeAutospacing="1" w:after="100" w:afterAutospacing="1" w:line="300" w:lineRule="atLeast"/>
      <w:ind w:firstLine="375"/>
      <w:jc w:val="left"/>
    </w:pPr>
    <w:rPr>
      <w:rFonts w:ascii="宋体" w:cs="宋体"/>
      <w:kern w:val="0"/>
      <w:szCs w:val="21"/>
    </w:rPr>
  </w:style>
  <w:style w:type="character" w:customStyle="1" w:styleId="133">
    <w:name w:val="proddescription"/>
    <w:basedOn w:val="43"/>
    <w:qFormat/>
    <w:uiPriority w:val="0"/>
  </w:style>
  <w:style w:type="character" w:customStyle="1" w:styleId="134">
    <w:name w:val="prodheadlines"/>
    <w:basedOn w:val="43"/>
    <w:qFormat/>
    <w:uiPriority w:val="0"/>
  </w:style>
  <w:style w:type="character" w:customStyle="1" w:styleId="135">
    <w:name w:val="text"/>
    <w:basedOn w:val="43"/>
    <w:qFormat/>
    <w:uiPriority w:val="0"/>
  </w:style>
  <w:style w:type="paragraph" w:customStyle="1" w:styleId="136">
    <w:name w:val="text1"/>
    <w:basedOn w:val="1"/>
    <w:qFormat/>
    <w:uiPriority w:val="0"/>
    <w:pPr>
      <w:widowControl/>
      <w:spacing w:before="100" w:beforeAutospacing="1" w:after="100" w:afterAutospacing="1"/>
      <w:jc w:val="left"/>
    </w:pPr>
    <w:rPr>
      <w:rFonts w:ascii="宋体" w:cs="宋体"/>
      <w:kern w:val="0"/>
      <w:sz w:val="24"/>
    </w:rPr>
  </w:style>
  <w:style w:type="paragraph" w:customStyle="1" w:styleId="137">
    <w:name w:val="z-窗体顶端1"/>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38">
    <w:name w:val="z-窗体底端1"/>
    <w:basedOn w:val="1"/>
    <w:next w:val="1"/>
    <w:qFormat/>
    <w:uiPriority w:val="0"/>
    <w:pPr>
      <w:widowControl/>
      <w:pBdr>
        <w:top w:val="single" w:color="auto" w:sz="6" w:space="1"/>
      </w:pBdr>
      <w:jc w:val="center"/>
    </w:pPr>
    <w:rPr>
      <w:rFonts w:ascii="Arial" w:hAnsi="Arial" w:cs="Arial"/>
      <w:vanish/>
      <w:kern w:val="0"/>
      <w:sz w:val="16"/>
      <w:szCs w:val="16"/>
    </w:rPr>
  </w:style>
  <w:style w:type="paragraph" w:customStyle="1" w:styleId="139">
    <w:name w:val="正文样式"/>
    <w:basedOn w:val="1"/>
    <w:qFormat/>
    <w:uiPriority w:val="0"/>
    <w:pPr>
      <w:adjustRightInd w:val="0"/>
      <w:spacing w:line="400" w:lineRule="atLeast"/>
      <w:ind w:firstLine="203" w:firstLineChars="203"/>
      <w:textAlignment w:val="baseline"/>
    </w:pPr>
    <w:rPr>
      <w:rFonts w:eastAsia="仿宋_GB2312"/>
      <w:kern w:val="0"/>
      <w:sz w:val="28"/>
      <w:szCs w:val="20"/>
    </w:rPr>
  </w:style>
  <w:style w:type="paragraph" w:customStyle="1" w:styleId="140">
    <w:name w:val="xl34"/>
    <w:basedOn w:val="1"/>
    <w:qFormat/>
    <w:uiPriority w:val="0"/>
    <w:pPr>
      <w:widowControl/>
      <w:pBdr>
        <w:left w:val="single" w:color="auto" w:sz="4" w:space="0"/>
      </w:pBdr>
      <w:spacing w:before="100" w:beforeAutospacing="1" w:after="100" w:afterAutospacing="1"/>
      <w:jc w:val="center"/>
      <w:textAlignment w:val="center"/>
    </w:pPr>
    <w:rPr>
      <w:rFonts w:ascii="宋体"/>
      <w:kern w:val="0"/>
      <w:sz w:val="24"/>
    </w:rPr>
  </w:style>
  <w:style w:type="paragraph" w:customStyle="1" w:styleId="141">
    <w:name w:val="段落正文"/>
    <w:basedOn w:val="22"/>
    <w:qFormat/>
    <w:uiPriority w:val="0"/>
    <w:pPr>
      <w:ind w:firstLine="200" w:firstLineChars="200"/>
    </w:pPr>
    <w:rPr>
      <w:sz w:val="28"/>
    </w:rPr>
  </w:style>
  <w:style w:type="character" w:customStyle="1" w:styleId="142">
    <w:name w:val="gray6"/>
    <w:basedOn w:val="43"/>
    <w:qFormat/>
    <w:uiPriority w:val="0"/>
  </w:style>
  <w:style w:type="character" w:customStyle="1" w:styleId="143">
    <w:name w:val="style9"/>
    <w:basedOn w:val="43"/>
    <w:qFormat/>
    <w:uiPriority w:val="0"/>
  </w:style>
  <w:style w:type="paragraph" w:customStyle="1" w:styleId="144">
    <w:name w:val="2册标题4"/>
    <w:basedOn w:val="1"/>
    <w:next w:val="1"/>
    <w:qFormat/>
    <w:uiPriority w:val="0"/>
    <w:pPr>
      <w:spacing w:before="50" w:beforeLines="50" w:after="50" w:afterLines="50" w:line="300" w:lineRule="auto"/>
      <w:ind w:left="200" w:leftChars="200"/>
      <w:outlineLvl w:val="3"/>
    </w:pPr>
    <w:rPr>
      <w:rFonts w:ascii="Arial" w:hAnsi="Arial" w:eastAsia="幼圆" w:cs="Arial"/>
      <w:b/>
      <w:sz w:val="24"/>
    </w:rPr>
  </w:style>
  <w:style w:type="character" w:customStyle="1" w:styleId="145">
    <w:name w:val="grame"/>
    <w:basedOn w:val="43"/>
    <w:qFormat/>
    <w:uiPriority w:val="0"/>
  </w:style>
  <w:style w:type="paragraph" w:customStyle="1" w:styleId="146">
    <w:name w:val="style2"/>
    <w:basedOn w:val="1"/>
    <w:qFormat/>
    <w:uiPriority w:val="0"/>
    <w:pPr>
      <w:widowControl/>
      <w:spacing w:before="100" w:beforeAutospacing="1" w:after="100" w:afterAutospacing="1"/>
      <w:jc w:val="left"/>
    </w:pPr>
    <w:rPr>
      <w:rFonts w:ascii="宋体" w:cs="宋体"/>
      <w:kern w:val="0"/>
      <w:sz w:val="18"/>
      <w:szCs w:val="18"/>
    </w:rPr>
  </w:style>
  <w:style w:type="paragraph" w:customStyle="1" w:styleId="147">
    <w:name w:val="Char1"/>
    <w:basedOn w:val="1"/>
    <w:qFormat/>
    <w:uiPriority w:val="0"/>
    <w:pPr>
      <w:jc w:val="left"/>
    </w:pPr>
    <w:rPr>
      <w:rFonts w:ascii="Tahoma" w:hAnsi="Tahoma"/>
      <w:sz w:val="24"/>
      <w:szCs w:val="20"/>
    </w:rPr>
  </w:style>
  <w:style w:type="paragraph" w:customStyle="1" w:styleId="148">
    <w:name w:val="编号1"/>
    <w:basedOn w:val="1"/>
    <w:qFormat/>
    <w:uiPriority w:val="0"/>
    <w:pPr>
      <w:numPr>
        <w:ilvl w:val="0"/>
        <w:numId w:val="6"/>
      </w:numPr>
      <w:adjustRightInd w:val="0"/>
      <w:spacing w:line="300" w:lineRule="auto"/>
      <w:ind w:right="210"/>
      <w:textAlignment w:val="center"/>
    </w:pPr>
    <w:rPr>
      <w:rFonts w:ascii="宋体"/>
      <w:snapToGrid w:val="0"/>
      <w:spacing w:val="10"/>
      <w:kern w:val="24"/>
    </w:rPr>
  </w:style>
  <w:style w:type="paragraph" w:customStyle="1" w:styleId="149">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50">
    <w:name w:val="font0"/>
    <w:basedOn w:val="1"/>
    <w:qFormat/>
    <w:uiPriority w:val="0"/>
    <w:pPr>
      <w:widowControl/>
      <w:spacing w:before="100" w:beforeAutospacing="1" w:after="100" w:afterAutospacing="1"/>
      <w:jc w:val="left"/>
    </w:pPr>
    <w:rPr>
      <w:rFonts w:ascii="宋体"/>
      <w:kern w:val="0"/>
      <w:sz w:val="24"/>
    </w:rPr>
  </w:style>
  <w:style w:type="paragraph" w:customStyle="1" w:styleId="151">
    <w:name w:val="font5"/>
    <w:basedOn w:val="1"/>
    <w:qFormat/>
    <w:uiPriority w:val="0"/>
    <w:pPr>
      <w:widowControl/>
      <w:spacing w:before="100" w:beforeAutospacing="1" w:after="100" w:afterAutospacing="1"/>
      <w:jc w:val="left"/>
    </w:pPr>
    <w:rPr>
      <w:rFonts w:ascii="宋体"/>
      <w:kern w:val="0"/>
      <w:sz w:val="18"/>
      <w:szCs w:val="18"/>
    </w:rPr>
  </w:style>
  <w:style w:type="paragraph" w:customStyle="1" w:styleId="152">
    <w:name w:val="font6"/>
    <w:basedOn w:val="1"/>
    <w:qFormat/>
    <w:uiPriority w:val="0"/>
    <w:pPr>
      <w:widowControl/>
      <w:spacing w:before="100" w:beforeAutospacing="1" w:after="100" w:afterAutospacing="1"/>
      <w:jc w:val="left"/>
    </w:pPr>
    <w:rPr>
      <w:kern w:val="0"/>
      <w:sz w:val="24"/>
    </w:rPr>
  </w:style>
  <w:style w:type="paragraph" w:customStyle="1" w:styleId="15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kern w:val="0"/>
      <w:sz w:val="24"/>
    </w:rPr>
  </w:style>
  <w:style w:type="paragraph" w:customStyle="1" w:styleId="15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kern w:val="0"/>
      <w:sz w:val="24"/>
    </w:rPr>
  </w:style>
  <w:style w:type="paragraph" w:customStyle="1" w:styleId="155">
    <w:name w:val="表格字"/>
    <w:basedOn w:val="1"/>
    <w:qFormat/>
    <w:uiPriority w:val="0"/>
    <w:pPr>
      <w:adjustRightInd w:val="0"/>
      <w:jc w:val="center"/>
    </w:pPr>
    <w:rPr>
      <w:rFonts w:ascii="宋体"/>
      <w:sz w:val="24"/>
      <w:szCs w:val="20"/>
    </w:rPr>
  </w:style>
  <w:style w:type="character" w:customStyle="1" w:styleId="156">
    <w:name w:val="样式 小三 加粗"/>
    <w:qFormat/>
    <w:uiPriority w:val="0"/>
    <w:rPr>
      <w:rFonts w:eastAsia="宋体"/>
      <w:b/>
      <w:bCs/>
      <w:sz w:val="32"/>
    </w:rPr>
  </w:style>
  <w:style w:type="paragraph" w:customStyle="1" w:styleId="15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kern w:val="0"/>
      <w:sz w:val="20"/>
      <w:szCs w:val="20"/>
    </w:rPr>
  </w:style>
  <w:style w:type="paragraph" w:customStyle="1" w:styleId="158">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59">
    <w:name w:val="Char Char Char"/>
    <w:basedOn w:val="1"/>
    <w:qFormat/>
    <w:uiPriority w:val="0"/>
    <w:rPr>
      <w:rFonts w:ascii="Tahoma" w:hAnsi="Tahoma"/>
      <w:sz w:val="24"/>
      <w:szCs w:val="20"/>
    </w:rPr>
  </w:style>
  <w:style w:type="paragraph" w:customStyle="1" w:styleId="160">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161">
    <w:name w:val="info4"/>
    <w:basedOn w:val="43"/>
    <w:qFormat/>
    <w:uiPriority w:val="0"/>
  </w:style>
  <w:style w:type="paragraph" w:customStyle="1" w:styleId="162">
    <w:name w:val="缩进正文"/>
    <w:basedOn w:val="1"/>
    <w:qFormat/>
    <w:uiPriority w:val="0"/>
    <w:pPr>
      <w:ind w:firstLine="200" w:firstLineChars="200"/>
    </w:pPr>
    <w:rPr>
      <w:rFonts w:eastAsia="仿宋_GB2312" w:cs="宋体"/>
      <w:sz w:val="28"/>
      <w:szCs w:val="20"/>
    </w:rPr>
  </w:style>
  <w:style w:type="paragraph" w:customStyle="1" w:styleId="163">
    <w:name w:val="列出段落1"/>
    <w:basedOn w:val="1"/>
    <w:qFormat/>
    <w:uiPriority w:val="0"/>
    <w:pPr>
      <w:ind w:firstLine="200" w:firstLineChars="200"/>
    </w:pPr>
    <w:rPr>
      <w:rFonts w:ascii="Calibri" w:hAnsi="Calibri" w:cs="Calibri"/>
      <w:szCs w:val="21"/>
    </w:rPr>
  </w:style>
  <w:style w:type="paragraph" w:customStyle="1" w:styleId="164">
    <w:name w:val="评价"/>
    <w:basedOn w:val="1"/>
    <w:qFormat/>
    <w:uiPriority w:val="0"/>
    <w:pPr>
      <w:spacing w:after="20" w:afterLines="20"/>
      <w:ind w:firstLine="200" w:firstLineChars="200"/>
    </w:pPr>
    <w:rPr>
      <w:rFonts w:ascii="Calibri" w:hAnsi="Calibri"/>
      <w:sz w:val="24"/>
    </w:rPr>
  </w:style>
  <w:style w:type="paragraph" w:customStyle="1" w:styleId="165">
    <w:name w:val="修订1"/>
    <w:qFormat/>
    <w:uiPriority w:val="0"/>
    <w:rPr>
      <w:rFonts w:ascii="Times New Roman" w:hAnsi="Times New Roman" w:eastAsia="宋体" w:cs="Times New Roman"/>
      <w:kern w:val="2"/>
      <w:sz w:val="21"/>
      <w:szCs w:val="24"/>
      <w:lang w:val="en-US" w:eastAsia="zh-CN" w:bidi="ar-SA"/>
    </w:rPr>
  </w:style>
  <w:style w:type="character" w:customStyle="1" w:styleId="166">
    <w:name w:val="alt-edited1"/>
    <w:qFormat/>
    <w:uiPriority w:val="0"/>
    <w:rPr>
      <w:color w:val="4D90F0"/>
    </w:rPr>
  </w:style>
  <w:style w:type="paragraph" w:customStyle="1" w:styleId="167">
    <w:name w:val="p9"/>
    <w:basedOn w:val="1"/>
    <w:qFormat/>
    <w:uiPriority w:val="0"/>
    <w:pPr>
      <w:widowControl/>
      <w:spacing w:before="100" w:beforeAutospacing="1" w:after="100" w:afterAutospacing="1"/>
      <w:jc w:val="left"/>
    </w:pPr>
    <w:rPr>
      <w:rFonts w:ascii="Calibri" w:hAnsi="Calibri" w:eastAsia="Arial Unicode MS" w:cs="Arial Unicode MS"/>
      <w:color w:val="000000"/>
      <w:kern w:val="0"/>
      <w:sz w:val="18"/>
      <w:szCs w:val="18"/>
    </w:rPr>
  </w:style>
  <w:style w:type="paragraph" w:customStyle="1" w:styleId="168">
    <w:name w:val="*正文"/>
    <w:basedOn w:val="1"/>
    <w:qFormat/>
    <w:uiPriority w:val="0"/>
    <w:pPr>
      <w:spacing w:line="360" w:lineRule="auto"/>
      <w:ind w:firstLine="200" w:firstLineChars="200"/>
    </w:pPr>
    <w:rPr>
      <w:rFonts w:ascii="宋体"/>
      <w:kern w:val="0"/>
      <w:sz w:val="24"/>
    </w:rPr>
  </w:style>
  <w:style w:type="character" w:customStyle="1" w:styleId="169">
    <w:name w:val="标题 4 Char1"/>
    <w:basedOn w:val="43"/>
    <w:qFormat/>
    <w:uiPriority w:val="0"/>
    <w:rPr>
      <w:rFonts w:ascii="Arial" w:hAnsi="Arial" w:eastAsia="黑体"/>
      <w:b/>
      <w:bCs/>
      <w:kern w:val="2"/>
      <w:sz w:val="28"/>
      <w:szCs w:val="28"/>
    </w:rPr>
  </w:style>
  <w:style w:type="paragraph" w:customStyle="1" w:styleId="170">
    <w:name w:val=".正文"/>
    <w:basedOn w:val="1"/>
    <w:autoRedefine/>
    <w:qFormat/>
    <w:uiPriority w:val="0"/>
    <w:pPr>
      <w:spacing w:line="360" w:lineRule="auto"/>
      <w:ind w:firstLine="426"/>
    </w:pPr>
    <w:rPr>
      <w:rFonts w:ascii="宋体" w:eastAsia="宋体"/>
      <w:sz w:val="24"/>
    </w:rPr>
  </w:style>
  <w:style w:type="character" w:customStyle="1" w:styleId="171">
    <w:name w:val="hover"/>
    <w:basedOn w:val="43"/>
    <w:qFormat/>
    <w:uiPriority w:val="0"/>
    <w:rPr>
      <w:color w:val="2590EB"/>
      <w:shd w:val="clear" w:color="auto" w:fill="E9F4FD"/>
    </w:rPr>
  </w:style>
  <w:style w:type="character" w:customStyle="1" w:styleId="172">
    <w:name w:val="hover1"/>
    <w:basedOn w:val="43"/>
    <w:qFormat/>
    <w:uiPriority w:val="0"/>
    <w:rPr>
      <w:color w:val="2590EB"/>
    </w:rPr>
  </w:style>
  <w:style w:type="character" w:customStyle="1" w:styleId="173">
    <w:name w:val="hover2"/>
    <w:basedOn w:val="43"/>
    <w:qFormat/>
    <w:uiPriority w:val="0"/>
  </w:style>
  <w:style w:type="character" w:customStyle="1" w:styleId="174">
    <w:name w:val="hover3"/>
    <w:basedOn w:val="43"/>
    <w:qFormat/>
    <w:uiPriority w:val="0"/>
    <w:rPr>
      <w:color w:val="2590EB"/>
    </w:rPr>
  </w:style>
  <w:style w:type="character" w:customStyle="1" w:styleId="175">
    <w:name w:val="hover4"/>
    <w:basedOn w:val="43"/>
    <w:qFormat/>
    <w:uiPriority w:val="0"/>
    <w:rPr>
      <w:color w:val="2590EB"/>
      <w:shd w:val="clear" w:color="auto" w:fill="E9F4FD"/>
    </w:rPr>
  </w:style>
  <w:style w:type="paragraph" w:customStyle="1" w:styleId="176">
    <w:name w:val="Table Text"/>
    <w:basedOn w:val="1"/>
    <w:qFormat/>
    <w:uiPriority w:val="0"/>
    <w:rPr>
      <w:rFonts w:ascii="微软雅黑" w:eastAsia="微软雅黑" w:cs="微软雅黑"/>
      <w:sz w:val="24"/>
      <w:szCs w:val="24"/>
      <w:lang w:val="en-US" w:eastAsia="en-US" w:bidi="ar-SA"/>
    </w:rPr>
  </w:style>
  <w:style w:type="paragraph" w:customStyle="1" w:styleId="177">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8">
    <w:name w:val="Ｒ07-正!!文"/>
    <w:qFormat/>
    <w:uiPriority w:val="0"/>
    <w:pPr>
      <w:wordWrap w:val="0"/>
      <w:spacing w:after="20" w:afterLines="20" w:line="312" w:lineRule="auto"/>
      <w:ind w:firstLine="200" w:firstLineChars="200"/>
    </w:pPr>
    <w:rPr>
      <w:rFonts w:ascii="宋体" w:hAnsi="Times New Roman" w:eastAsia="宋体" w:cs="宋体"/>
      <w:snapToGrid w:val="0"/>
      <w:spacing w:val="4"/>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Microsoft</Company>
  <Pages>119</Pages>
  <Words>6403</Words>
  <Characters>6582</Characters>
  <Lines>3828</Lines>
  <Paragraphs>2491</Paragraphs>
  <TotalTime>8</TotalTime>
  <ScaleCrop>false</ScaleCrop>
  <LinksUpToDate>false</LinksUpToDate>
  <CharactersWithSpaces>6614</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2022-01-27T03:49:00Z</dcterms:created>
  <dc:creator>thsware</dc:creator>
  <cp:lastModifiedBy>中正招标 党工</cp:lastModifiedBy>
  <cp:lastPrinted>2021-11-29T11:53:00Z</cp:lastPrinted>
  <dcterms:modified xsi:type="dcterms:W3CDTF">2026-05-19T08:17:30Z</dcterms:modified>
  <dc:title>招  标　文　件</dc:title>
  <cp:revision>201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B92BCEBCE850491B8516E56E65171A17</vt:lpwstr>
  </property>
  <property fmtid="{D5CDD505-2E9C-101B-9397-08002B2CF9AE}" pid="4" name="KSOTemplateDocerSaveRecord">
    <vt:lpwstr>eyJoZGlkIjoiMzc3NDQ3NDMwNDI1NjM4YWE2ZmE5MjkzN2JmZGM2OTgiLCJ1c2VySWQiOiI0NjMwNjU1NzcifQ==</vt:lpwstr>
  </property>
</Properties>
</file>